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7E4ADCF4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2882265" cy="6467475"/>
                <wp:effectExtent l="0" t="0" r="13335" b="28575"/>
                <wp:wrapTight wrapText="bothSides">
                  <wp:wrapPolygon edited="0">
                    <wp:start x="2427" y="0"/>
                    <wp:lineTo x="1428" y="191"/>
                    <wp:lineTo x="0" y="827"/>
                    <wp:lineTo x="0" y="20741"/>
                    <wp:lineTo x="1142" y="21377"/>
                    <wp:lineTo x="2141" y="21632"/>
                    <wp:lineTo x="2427" y="21632"/>
                    <wp:lineTo x="19130" y="21632"/>
                    <wp:lineTo x="19416" y="21632"/>
                    <wp:lineTo x="20415" y="21377"/>
                    <wp:lineTo x="21557" y="20741"/>
                    <wp:lineTo x="21557" y="827"/>
                    <wp:lineTo x="20130" y="191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46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16C32013" w:rsidR="00787A2B" w:rsidRPr="00423215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423215" w:rsidRPr="004A61C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Brimbank City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</w:t>
                            </w:r>
                            <w:r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 single-councillor ward electoral structure. </w:t>
                            </w:r>
                          </w:p>
                          <w:p w14:paraId="7A1263E7" w14:textId="778AD566" w:rsidR="00533759" w:rsidRPr="00423215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423215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Brimbank City </w:t>
                            </w:r>
                            <w:r w:rsidR="00C3537A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C45CD1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 w:rsidRPr="0042321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28ED2312" w14:textId="0ADF82D3" w:rsidR="00DD54F6" w:rsidRDefault="00DD54F6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 and your input is valuable. As a local, you know your council area better than anyone. This is your chance to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 your thoughts about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the single-councillor ward structure you believe would best provide 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01335268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2AADE0ED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175.75pt;margin-top:13.55pt;width:226.95pt;height:509.25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16C32013" w:rsidR="00787A2B" w:rsidRPr="00423215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423215" w:rsidRPr="004A61C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Brimbank City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</w:t>
                      </w:r>
                      <w:r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 single-councillor ward electoral structure. </w:t>
                      </w:r>
                    </w:p>
                    <w:p w14:paraId="7A1263E7" w14:textId="778AD566" w:rsidR="00533759" w:rsidRPr="00423215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423215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 w:rsidRPr="00423215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423215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Brimbank City </w:t>
                      </w:r>
                      <w:r w:rsidR="00C3537A" w:rsidRPr="00423215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423215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C45CD1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 w:rsidRPr="00423215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423215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 w:rsidRPr="0042321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28ED2312" w14:textId="0ADF82D3" w:rsidR="00DD54F6" w:rsidRDefault="00DD54F6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 and your input is valuable. As a local, you know your council area better than anyone. This is your chance to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 your thoughts about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the single-councillor ward structure you believe would best provide 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01335268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2AADE0ED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07CAC49D" w:rsidR="005E451C" w:rsidRPr="005A3FC0" w:rsidRDefault="00533759" w:rsidP="005841E2">
      <w:pPr>
        <w:pStyle w:val="Heading1A"/>
        <w:spacing w:after="240"/>
      </w:pPr>
      <w:r>
        <w:t xml:space="preserve">About </w:t>
      </w:r>
      <w:r w:rsidR="00423215">
        <w:t xml:space="preserve">Brimbank City </w:t>
      </w:r>
      <w:r w:rsidR="005E451C" w:rsidRPr="005A3FC0">
        <w:t>Council</w:t>
      </w:r>
    </w:p>
    <w:p w14:paraId="23CE5D8C" w14:textId="77777777" w:rsidR="00423215" w:rsidRDefault="00423215" w:rsidP="008E1266">
      <w:pPr>
        <w:pStyle w:val="Body"/>
        <w:spacing w:after="120" w:line="240" w:lineRule="auto"/>
      </w:pPr>
      <w:r>
        <w:t xml:space="preserve">The Traditional Custodians of the land in Brimbank City Council are the Wurundjeri and the Bunurong peoples. </w:t>
      </w:r>
    </w:p>
    <w:p w14:paraId="3EE79AED" w14:textId="6AE5E545" w:rsidR="00423215" w:rsidRDefault="00423215" w:rsidP="008E1266">
      <w:pPr>
        <w:pStyle w:val="Body"/>
        <w:spacing w:after="120" w:line="240" w:lineRule="auto"/>
      </w:pPr>
      <w:r>
        <w:t xml:space="preserve">Brimbank City Council is about 20 km west of central Melbourne. Covering an area of </w:t>
      </w:r>
      <w:r w:rsidR="00D2243E">
        <w:br/>
      </w:r>
      <w:r>
        <w:t>123 km</w:t>
      </w:r>
      <w:r>
        <w:rPr>
          <w:vertAlign w:val="superscript"/>
        </w:rPr>
        <w:t>2</w:t>
      </w:r>
      <w:r>
        <w:t xml:space="preserve"> it is home to 194,618 people. </w:t>
      </w:r>
      <w:r w:rsidR="0080321C">
        <w:t>As</w:t>
      </w:r>
      <w:r>
        <w:t xml:space="preserve"> the most populated of Victoria’s metropolitan </w:t>
      </w:r>
      <w:r w:rsidR="005D2B3E">
        <w:t>councils,</w:t>
      </w:r>
      <w:r w:rsidR="00FE3E3B">
        <w:t xml:space="preserve"> it</w:t>
      </w:r>
      <w:r>
        <w:t xml:space="preserve"> is forecast to grow to nearly 230,000 people </w:t>
      </w:r>
      <w:r w:rsidR="00A02430">
        <w:t>by</w:t>
      </w:r>
      <w:r>
        <w:t xml:space="preserve"> 2040.</w:t>
      </w:r>
    </w:p>
    <w:p w14:paraId="48ADDA89" w14:textId="0476849F" w:rsidR="00605693" w:rsidRDefault="00FE3E3B" w:rsidP="008E1266">
      <w:pPr>
        <w:pStyle w:val="Body"/>
        <w:spacing w:after="120" w:line="240" w:lineRule="auto"/>
      </w:pPr>
      <w:r>
        <w:t xml:space="preserve">The </w:t>
      </w:r>
      <w:r w:rsidR="00511031">
        <w:t>council area</w:t>
      </w:r>
      <w:r w:rsidR="00423215">
        <w:t xml:space="preserve"> is heavily urbanised and residential, industrial and commercial areas account for about 85% of </w:t>
      </w:r>
      <w:r w:rsidR="00DD1591">
        <w:t xml:space="preserve">all </w:t>
      </w:r>
      <w:r w:rsidR="008303E2">
        <w:t>land use</w:t>
      </w:r>
      <w:r w:rsidR="00423215">
        <w:t>.</w:t>
      </w:r>
      <w:r w:rsidR="00EB3240">
        <w:t xml:space="preserve"> </w:t>
      </w:r>
      <w:r w:rsidR="00EA7846">
        <w:t>It</w:t>
      </w:r>
      <w:r w:rsidR="00560E1D">
        <w:t xml:space="preserve"> </w:t>
      </w:r>
      <w:r w:rsidR="00451138">
        <w:t xml:space="preserve">comprises 25 </w:t>
      </w:r>
      <w:r w:rsidR="00DD1591">
        <w:t>suburbs</w:t>
      </w:r>
      <w:r w:rsidR="005228A3">
        <w:t xml:space="preserve">, </w:t>
      </w:r>
      <w:r w:rsidR="00221164">
        <w:t xml:space="preserve">which the council has </w:t>
      </w:r>
      <w:r w:rsidR="005228A3">
        <w:t xml:space="preserve">organised </w:t>
      </w:r>
      <w:r w:rsidR="00221164">
        <w:t>into</w:t>
      </w:r>
      <w:r w:rsidR="00AD0F7C">
        <w:t xml:space="preserve"> 5 local districts: St Albans, Sunshine, Deer Park</w:t>
      </w:r>
      <w:r w:rsidR="000E757E">
        <w:t>, Sydenham and Keilor</w:t>
      </w:r>
      <w:r w:rsidR="008665C5">
        <w:t>. Each district</w:t>
      </w:r>
      <w:r w:rsidR="000F76C5">
        <w:t xml:space="preserve"> </w:t>
      </w:r>
      <w:r w:rsidR="00073FEB">
        <w:t>has</w:t>
      </w:r>
      <w:r w:rsidR="000F76C5">
        <w:t xml:space="preserve"> its own </w:t>
      </w:r>
      <w:r w:rsidR="00EA6887">
        <w:t>identity</w:t>
      </w:r>
      <w:r w:rsidR="00605693">
        <w:t xml:space="preserve">, </w:t>
      </w:r>
      <w:r w:rsidR="00855336">
        <w:t>culture,</w:t>
      </w:r>
      <w:r w:rsidR="00605693">
        <w:t xml:space="preserve"> and heritage.</w:t>
      </w:r>
    </w:p>
    <w:p w14:paraId="497E9382" w14:textId="4A0DEF71" w:rsidR="00DF7558" w:rsidRDefault="00C90495" w:rsidP="008E1266">
      <w:pPr>
        <w:pStyle w:val="Body"/>
        <w:spacing w:after="120" w:line="240" w:lineRule="auto"/>
      </w:pPr>
      <w:r>
        <w:t>Pre</w:t>
      </w:r>
      <w:r w:rsidR="00D24866">
        <w:t>- and post-war homes characterise</w:t>
      </w:r>
      <w:r w:rsidR="00603548">
        <w:t xml:space="preserve"> the established suburbs</w:t>
      </w:r>
      <w:r w:rsidR="00D43D52">
        <w:t xml:space="preserve"> of Sunshine, St Albans and Deer Park</w:t>
      </w:r>
      <w:r w:rsidR="0069274B">
        <w:t xml:space="preserve">. </w:t>
      </w:r>
      <w:r w:rsidR="003F6B0F">
        <w:t>The m</w:t>
      </w:r>
      <w:r w:rsidR="0069274B">
        <w:t xml:space="preserve">ore recently developed </w:t>
      </w:r>
      <w:r w:rsidR="00DF7558">
        <w:t>suburbs</w:t>
      </w:r>
      <w:r w:rsidR="0069274B">
        <w:t xml:space="preserve"> of </w:t>
      </w:r>
      <w:r w:rsidR="00D67912">
        <w:t>Cairnlea, Sydenham, Hillside, and Derrimut</w:t>
      </w:r>
      <w:r w:rsidR="0069274B">
        <w:t xml:space="preserve"> </w:t>
      </w:r>
      <w:r w:rsidR="00133D0B">
        <w:t>feature</w:t>
      </w:r>
      <w:r w:rsidR="0069274B">
        <w:t xml:space="preserve"> </w:t>
      </w:r>
      <w:r w:rsidR="00EC20E3">
        <w:t xml:space="preserve">more contemporary </w:t>
      </w:r>
      <w:r w:rsidR="0069274B">
        <w:t>housing</w:t>
      </w:r>
      <w:r w:rsidR="00EC20E3">
        <w:t>.</w:t>
      </w:r>
    </w:p>
    <w:p w14:paraId="68689097" w14:textId="0F462731" w:rsidR="00423215" w:rsidRDefault="00DF7558" w:rsidP="008E1266">
      <w:pPr>
        <w:pStyle w:val="Body"/>
        <w:spacing w:after="120" w:line="240" w:lineRule="auto"/>
      </w:pPr>
      <w:r>
        <w:t xml:space="preserve">Growth is </w:t>
      </w:r>
      <w:r w:rsidR="00FE1C00">
        <w:t>expected</w:t>
      </w:r>
      <w:r>
        <w:t xml:space="preserve"> to occur </w:t>
      </w:r>
      <w:r w:rsidRPr="00DF7558">
        <w:t>through medium and high</w:t>
      </w:r>
      <w:r w:rsidR="00864AFE">
        <w:t>er</w:t>
      </w:r>
      <w:r w:rsidRPr="00DF7558">
        <w:t xml:space="preserve"> density housing development</w:t>
      </w:r>
      <w:r w:rsidR="00073FEB">
        <w:t xml:space="preserve"> </w:t>
      </w:r>
      <w:r w:rsidR="00C23703">
        <w:t xml:space="preserve">in </w:t>
      </w:r>
      <w:r w:rsidR="00FE1C00">
        <w:t xml:space="preserve">Brimbank, </w:t>
      </w:r>
      <w:r w:rsidR="00A465DE">
        <w:t xml:space="preserve">Deer </w:t>
      </w:r>
      <w:r w:rsidR="00FE1C00">
        <w:t>P</w:t>
      </w:r>
      <w:r w:rsidR="00A465DE">
        <w:t xml:space="preserve">ark, </w:t>
      </w:r>
      <w:r w:rsidR="00FE1C00">
        <w:t xml:space="preserve">Keilor Downs, </w:t>
      </w:r>
      <w:r w:rsidR="00E732AF">
        <w:br/>
      </w:r>
      <w:r w:rsidR="00A465DE">
        <w:t>S</w:t>
      </w:r>
      <w:r w:rsidR="001B0071">
        <w:t>t Albans, S</w:t>
      </w:r>
      <w:r w:rsidR="00A465DE">
        <w:t>unshine</w:t>
      </w:r>
      <w:r w:rsidR="001B0071">
        <w:t>,</w:t>
      </w:r>
      <w:r w:rsidR="00073FEB">
        <w:t xml:space="preserve"> and Sydenham.</w:t>
      </w:r>
    </w:p>
    <w:p w14:paraId="707B9CEC" w14:textId="23764558" w:rsidR="00B74C22" w:rsidRDefault="00423215" w:rsidP="008E1266">
      <w:pPr>
        <w:pStyle w:val="Body"/>
        <w:spacing w:after="0" w:line="240" w:lineRule="auto"/>
      </w:pPr>
      <w:r>
        <w:t xml:space="preserve">Brimbank is culturally diverse. </w:t>
      </w:r>
      <w:r w:rsidR="001C0B6A">
        <w:t>At the 2021 Census, a</w:t>
      </w:r>
      <w:r>
        <w:t xml:space="preserve">bout 70% of </w:t>
      </w:r>
      <w:r w:rsidR="00231E93">
        <w:t xml:space="preserve">residents </w:t>
      </w:r>
      <w:r>
        <w:t>had both parents born overseas</w:t>
      </w:r>
      <w:r w:rsidR="00231E93">
        <w:t xml:space="preserve"> and p</w:t>
      </w:r>
      <w:r>
        <w:t>eople with Vietnamese ancestry account</w:t>
      </w:r>
      <w:r w:rsidR="00231E93">
        <w:t>ed</w:t>
      </w:r>
      <w:r>
        <w:t xml:space="preserve"> for about 17% of the population. Other large cultural groups include people with Chinese, Italian and Maltese ancestry.</w:t>
      </w:r>
    </w:p>
    <w:p w14:paraId="44625030" w14:textId="77777777" w:rsidR="00855336" w:rsidRDefault="00855336" w:rsidP="008E1266">
      <w:pPr>
        <w:pStyle w:val="Body"/>
        <w:spacing w:after="0" w:line="240" w:lineRule="auto"/>
      </w:pPr>
    </w:p>
    <w:p w14:paraId="7817DA9F" w14:textId="1223F8AD" w:rsidR="00303185" w:rsidRPr="00533759" w:rsidRDefault="00303185" w:rsidP="00533759">
      <w:pPr>
        <w:pStyle w:val="Body"/>
        <w:spacing w:after="240" w:line="240" w:lineRule="auto"/>
        <w:sectPr w:rsidR="00303185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0A479770" w:rsidR="004B309B" w:rsidRPr="00E25ED3" w:rsidRDefault="004B309B" w:rsidP="00855336">
      <w:pPr>
        <w:pStyle w:val="Heading2"/>
        <w:spacing w:before="480"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2C28B19C" w:rsidR="004B309B" w:rsidRDefault="00423215" w:rsidP="004B309B">
      <w:pPr>
        <w:pStyle w:val="Body"/>
        <w:spacing w:after="240" w:line="240" w:lineRule="auto"/>
      </w:pPr>
      <w:r w:rsidRPr="00423215">
        <w:t>Brimbank City</w:t>
      </w:r>
      <w:r w:rsidR="004B309B" w:rsidRPr="00423215">
        <w:t xml:space="preserve"> </w:t>
      </w:r>
      <w:r w:rsidR="001557DA" w:rsidRPr="00423215">
        <w:t xml:space="preserve">Council </w:t>
      </w:r>
      <w:r w:rsidR="004B309B" w:rsidRPr="00423215">
        <w:t>is divided into</w:t>
      </w:r>
      <w:r w:rsidR="00E3332A" w:rsidRPr="00423215">
        <w:t xml:space="preserve"> </w:t>
      </w:r>
      <w:r w:rsidRPr="00423215">
        <w:t>4</w:t>
      </w:r>
      <w:r w:rsidR="0094715B" w:rsidRPr="00423215">
        <w:t xml:space="preserve"> wards </w:t>
      </w:r>
      <w:r w:rsidR="004B309B" w:rsidRPr="00423215">
        <w:t xml:space="preserve">with a total of </w:t>
      </w:r>
      <w:r w:rsidRPr="00423215">
        <w:t>11</w:t>
      </w:r>
      <w:r w:rsidR="00A16431" w:rsidRPr="00423215">
        <w:t xml:space="preserve"> councillors:</w:t>
      </w:r>
      <w:r w:rsidR="004B309B" w:rsidRPr="00DF4D2A">
        <w:t xml:space="preserve"> </w:t>
      </w:r>
    </w:p>
    <w:p w14:paraId="17EADD04" w14:textId="7CC93A71" w:rsidR="00A55CE7" w:rsidRPr="00423215" w:rsidRDefault="00423215" w:rsidP="001E6B21">
      <w:pPr>
        <w:pStyle w:val="Bulletlevel1"/>
        <w:spacing w:after="0"/>
      </w:pPr>
      <w:r>
        <w:t>one ward</w:t>
      </w:r>
      <w:r w:rsidR="00931605" w:rsidRPr="00423215">
        <w:t xml:space="preserve"> with </w:t>
      </w:r>
      <w:r>
        <w:t>2</w:t>
      </w:r>
      <w:r w:rsidR="006D729D" w:rsidRPr="00423215">
        <w:t xml:space="preserve"> councillors</w:t>
      </w:r>
      <w:r w:rsidR="00E02C88" w:rsidRPr="00423215">
        <w:t xml:space="preserve"> </w:t>
      </w:r>
    </w:p>
    <w:p w14:paraId="5820B09E" w14:textId="34F21AF1" w:rsidR="004416AD" w:rsidRPr="00423215" w:rsidRDefault="00423215" w:rsidP="004416AD">
      <w:pPr>
        <w:pStyle w:val="Bulletlevel1"/>
        <w:spacing w:after="0"/>
      </w:pPr>
      <w:r>
        <w:t>3</w:t>
      </w:r>
      <w:r w:rsidR="004416AD" w:rsidRPr="00423215">
        <w:t xml:space="preserve"> wards with </w:t>
      </w:r>
      <w:r>
        <w:t>3</w:t>
      </w:r>
      <w:r w:rsidR="006D729D" w:rsidRPr="00423215">
        <w:t xml:space="preserve"> </w:t>
      </w:r>
      <w:r w:rsidR="004416AD" w:rsidRPr="00423215">
        <w:t>councillors each</w:t>
      </w:r>
    </w:p>
    <w:p w14:paraId="25955E25" w14:textId="1D49DA07" w:rsidR="00766EC1" w:rsidRDefault="00766EC1" w:rsidP="00766EC1">
      <w:pPr>
        <w:spacing w:after="120"/>
      </w:pPr>
    </w:p>
    <w:p w14:paraId="0070F70A" w14:textId="77777777" w:rsidR="00766EC1" w:rsidRDefault="00766EC1" w:rsidP="00766EC1">
      <w:pPr>
        <w:spacing w:after="120"/>
      </w:pPr>
    </w:p>
    <w:p w14:paraId="52AD804D" w14:textId="651FE42F" w:rsidR="00766EC1" w:rsidRDefault="00766EC1" w:rsidP="00766EC1">
      <w:pPr>
        <w:spacing w:after="120"/>
      </w:pPr>
    </w:p>
    <w:p w14:paraId="1381D397" w14:textId="77777777" w:rsidR="00766EC1" w:rsidRPr="00766EC1" w:rsidRDefault="00766EC1" w:rsidP="00766EC1">
      <w:pPr>
        <w:spacing w:after="120"/>
      </w:pPr>
    </w:p>
    <w:p w14:paraId="6BA48507" w14:textId="58D60547" w:rsidR="00CE77A4" w:rsidRPr="00E25ED3" w:rsidRDefault="00CE77A4" w:rsidP="00766EC1">
      <w:pPr>
        <w:pStyle w:val="Heading2"/>
        <w:spacing w:before="360" w:after="120"/>
      </w:pPr>
      <w:r w:rsidRPr="00E25ED3">
        <w:t>Last review</w:t>
      </w:r>
    </w:p>
    <w:p w14:paraId="5080722E" w14:textId="7A6F208B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423215">
        <w:t xml:space="preserve">Brimbank City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423215">
        <w:t>2011.</w:t>
      </w:r>
    </w:p>
    <w:p w14:paraId="1E1471D3" w14:textId="1EEEC5E4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423215">
        <w:t>2011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62E08243" w:rsidR="00442535" w:rsidRDefault="00B53151" w:rsidP="00C93B58">
      <w:pPr>
        <w:pStyle w:val="Heading2a"/>
      </w:pPr>
      <w:r>
        <w:t xml:space="preserve">Monday </w:t>
      </w:r>
      <w:r w:rsidR="00AD7E22">
        <w:t>16</w:t>
      </w:r>
      <w:r>
        <w:t xml:space="preserve"> and Tuesday </w:t>
      </w:r>
      <w:r w:rsidR="00AD7E22">
        <w:t>17 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3BB3E51D" w:rsidR="001C2597" w:rsidRDefault="00C93B58" w:rsidP="000378E4">
      <w:pPr>
        <w:pStyle w:val="BodyA"/>
      </w:pPr>
      <w:r w:rsidRPr="00C93B58">
        <w:t xml:space="preserve">Session 1: </w:t>
      </w:r>
      <w:r w:rsidR="00FA04FA">
        <w:t xml:space="preserve">12 noon, Monday </w:t>
      </w:r>
      <w:r w:rsidR="00E21EE7">
        <w:t>16 October</w:t>
      </w:r>
      <w:r w:rsidRPr="00132DC6">
        <w:t xml:space="preserve"> </w:t>
      </w:r>
    </w:p>
    <w:p w14:paraId="1AF94748" w14:textId="0DA202FE" w:rsidR="00C93B58" w:rsidRPr="00C93B58" w:rsidRDefault="00C93B58" w:rsidP="000378E4">
      <w:pPr>
        <w:pStyle w:val="BodyA"/>
      </w:pPr>
      <w:r w:rsidRPr="00C93B58">
        <w:t xml:space="preserve">Session 2: </w:t>
      </w:r>
      <w:r w:rsidR="00E66A6A">
        <w:t>6 pm</w:t>
      </w:r>
      <w:r w:rsidR="00621772">
        <w:t xml:space="preserve">, Tuesday </w:t>
      </w:r>
      <w:r w:rsidR="00E21EE7">
        <w:t>17 October</w:t>
      </w:r>
    </w:p>
    <w:p w14:paraId="1F8E3951" w14:textId="63CA6A5A" w:rsidR="0055232C" w:rsidRDefault="0051531D" w:rsidP="00FB695B">
      <w:pPr>
        <w:pStyle w:val="BodyA"/>
        <w:spacing w:after="120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C47492">
        <w:t xml:space="preserve">for a session </w:t>
      </w:r>
      <w:r w:rsidR="0055232C">
        <w:t xml:space="preserve">on the VEC website. </w:t>
      </w:r>
    </w:p>
    <w:p w14:paraId="6CD9A49A" w14:textId="07F45AF5" w:rsidR="00C93B58" w:rsidRDefault="00B53151" w:rsidP="00C76AB3">
      <w:pPr>
        <w:pStyle w:val="Heading2a"/>
      </w:pPr>
      <w:r>
        <w:t xml:space="preserve">Wednesday </w:t>
      </w:r>
      <w:r w:rsidR="00AD7E22">
        <w:t>18 October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4FB6DE1B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C47492">
        <w:t>with</w:t>
      </w:r>
      <w:r w:rsidRPr="00132DC6">
        <w:t xml:space="preserve"> one or more options for the electoral structure</w:t>
      </w:r>
      <w:r>
        <w:t xml:space="preserve"> on</w:t>
      </w:r>
      <w:r w:rsidR="00173DAA">
        <w:t xml:space="preserve"> Wednesday</w:t>
      </w:r>
      <w:r>
        <w:t xml:space="preserve"> </w:t>
      </w:r>
      <w:r w:rsidR="00E21EE7">
        <w:t>18 October.</w:t>
      </w:r>
    </w:p>
    <w:p w14:paraId="51EDB934" w14:textId="2FD1E5FB" w:rsidR="00C93B58" w:rsidRDefault="00CE60F8" w:rsidP="00FB695B">
      <w:pPr>
        <w:pStyle w:val="BodyA"/>
        <w:spacing w:after="120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 from this date.</w:t>
      </w:r>
    </w:p>
    <w:p w14:paraId="16CD43D1" w14:textId="064775BE" w:rsidR="002012D1" w:rsidRDefault="002012D1" w:rsidP="002012D1">
      <w:pPr>
        <w:pStyle w:val="Heading2a"/>
      </w:pPr>
      <w:r>
        <w:t xml:space="preserve">Wednesday </w:t>
      </w:r>
      <w:r w:rsidR="00AD7E22">
        <w:t>8 November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59C6605A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>panel must receive all s</w:t>
      </w:r>
      <w:r w:rsidRPr="00132DC6">
        <w:t xml:space="preserve">ubmissions by </w:t>
      </w:r>
      <w:r w:rsidR="006B5379">
        <w:br/>
      </w:r>
      <w:r w:rsidRPr="000851EA">
        <w:t>5 p</w:t>
      </w:r>
      <w:r>
        <w:t xml:space="preserve">m on </w:t>
      </w:r>
      <w:r w:rsidR="002012D1">
        <w:t xml:space="preserve">Wednesday </w:t>
      </w:r>
      <w:r w:rsidR="00E21EE7">
        <w:t>8 November</w:t>
      </w:r>
      <w:r w:rsidR="00784854">
        <w:t>.</w:t>
      </w:r>
    </w:p>
    <w:p w14:paraId="5A9FCF67" w14:textId="7304525E" w:rsidR="00C76AB3" w:rsidRDefault="00FC73E9" w:rsidP="00FB695B">
      <w:pPr>
        <w:pStyle w:val="BodyA"/>
        <w:spacing w:after="120"/>
        <w:rPr>
          <w:b/>
          <w:bCs/>
        </w:rPr>
      </w:pPr>
      <w:r>
        <w:t>The panel will not accept late</w:t>
      </w:r>
      <w:r w:rsidR="00C76AB3" w:rsidRPr="00132DC6">
        <w:t xml:space="preserve"> submissions.</w:t>
      </w:r>
    </w:p>
    <w:p w14:paraId="3C48F899" w14:textId="3CCC9997" w:rsidR="00C76AB3" w:rsidRDefault="00F05FB4" w:rsidP="00C76AB3">
      <w:pPr>
        <w:pStyle w:val="Heading2a"/>
      </w:pPr>
      <w:r>
        <w:t xml:space="preserve">Wednesday </w:t>
      </w:r>
      <w:r w:rsidR="00E21EE7">
        <w:t>15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3B027B14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 </w:t>
      </w:r>
      <w:r w:rsidR="00E21EE7">
        <w:t>10 am Wednesday 15 November.</w:t>
      </w:r>
    </w:p>
    <w:p w14:paraId="238F8159" w14:textId="540AE0F5" w:rsidR="00C76AB3" w:rsidRDefault="00B33CA4" w:rsidP="00FB695B">
      <w:pPr>
        <w:pStyle w:val="BodyA"/>
        <w:spacing w:after="120"/>
      </w:pPr>
      <w:r w:rsidRPr="00132DC6">
        <w:t xml:space="preserve">The public hearing will not be held if </w:t>
      </w:r>
      <w:r w:rsidR="003E054A">
        <w:t>no one ask</w:t>
      </w:r>
      <w:r w:rsidRPr="00132DC6">
        <w:t>s to speak.</w:t>
      </w:r>
    </w:p>
    <w:p w14:paraId="30D5AB6A" w14:textId="32CD3AE6" w:rsidR="00143EDC" w:rsidRDefault="00143EDC" w:rsidP="00143EDC">
      <w:pPr>
        <w:pStyle w:val="Heading2a"/>
      </w:pPr>
      <w:r>
        <w:t xml:space="preserve">Wednesday </w:t>
      </w:r>
      <w:r w:rsidR="00E21EE7">
        <w:t>13 December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6C91898A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E21EE7">
        <w:t>13 December.</w:t>
      </w:r>
    </w:p>
    <w:p w14:paraId="48E670BE" w14:textId="374C7C0E" w:rsidR="00EF4709" w:rsidRDefault="00385E80" w:rsidP="00BF35AF">
      <w:pPr>
        <w:pStyle w:val="BodyA"/>
        <w:spacing w:after="2040"/>
      </w:pPr>
      <w:r>
        <w:t xml:space="preserve">The </w:t>
      </w:r>
      <w:r w:rsidR="003E054A">
        <w:t>m</w:t>
      </w:r>
      <w:r>
        <w:t>inister will 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1954E3F0" w14:textId="6F1E2BD2" w:rsidR="007D07BF" w:rsidRDefault="007D07BF" w:rsidP="00AD7E22">
      <w:pPr>
        <w:pStyle w:val="Heading2"/>
        <w:spacing w:after="120"/>
      </w:pPr>
      <w:r>
        <w:t>Submission guide</w:t>
      </w:r>
    </w:p>
    <w:p w14:paraId="738A747A" w14:textId="6DD01E35" w:rsidR="00C34A25" w:rsidRDefault="00C34A25" w:rsidP="00C34A25">
      <w:r>
        <w:t>You can d</w:t>
      </w:r>
      <w:r w:rsidRPr="00E2340E">
        <w:t xml:space="preserve">ownload </w:t>
      </w:r>
      <w:r>
        <w:t xml:space="preserve">a </w:t>
      </w:r>
      <w:r w:rsidRPr="00E2340E">
        <w:t xml:space="preserve">submission guide from the VEC website at </w:t>
      </w:r>
      <w:hyperlink r:id="rId10" w:tooltip="Link to VEC website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423215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16CBF119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3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Pr="00303E86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303E86">
        <w:rPr>
          <w:rStyle w:val="Hyperlink"/>
          <w:color w:val="auto"/>
          <w:u w:val="none"/>
        </w:rPr>
        <w:t>By email to</w:t>
      </w:r>
      <w:r w:rsidR="00757292" w:rsidRPr="00303E86">
        <w:rPr>
          <w:rStyle w:val="Hyperlink"/>
          <w:color w:val="auto"/>
          <w:u w:val="none"/>
        </w:rPr>
        <w:t>:</w:t>
      </w:r>
    </w:p>
    <w:p w14:paraId="088DF19D" w14:textId="3511BA88" w:rsidR="00BF41BB" w:rsidRP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707F06">
          <w:rPr>
            <w:rStyle w:val="Hyperlink"/>
          </w:rPr>
          <w:t>Brimbank.ERAPSubmissions@ vec.vic.gov.au</w:t>
        </w:r>
      </w:hyperlink>
      <w:r w:rsidR="00303E86" w:rsidRPr="3517DE2B">
        <w:rPr>
          <w:rStyle w:val="Hyperlink"/>
          <w:color w:val="auto"/>
          <w:u w:val="none"/>
        </w:rPr>
        <w:t xml:space="preserve"> </w:t>
      </w:r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6F0A799C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AEC5529" w14:textId="5B41F45D" w:rsidR="002D6EE1" w:rsidRDefault="002D6EE1" w:rsidP="002D6EE1">
      <w:pPr>
        <w:pStyle w:val="Body"/>
        <w:spacing w:after="160" w:line="240" w:lineRule="auto"/>
      </w:pPr>
      <w:r>
        <w:t>Your</w:t>
      </w:r>
      <w:r w:rsidRPr="00306648">
        <w:t xml:space="preserve"> submission </w:t>
      </w:r>
      <w:r>
        <w:t>will be</w:t>
      </w:r>
      <w:r w:rsidRPr="00306648">
        <w:t xml:space="preserve"> published on the VEC website</w:t>
      </w:r>
      <w:r>
        <w:t>, including</w:t>
      </w:r>
      <w:r w:rsidRPr="00306648">
        <w:t xml:space="preserve"> </w:t>
      </w:r>
      <w:r>
        <w:t>y</w:t>
      </w:r>
      <w:r w:rsidRPr="00306648">
        <w:t xml:space="preserve">our name and </w:t>
      </w:r>
      <w:r>
        <w:t>suburb or town</w:t>
      </w:r>
      <w:r w:rsidRPr="00306648">
        <w:t xml:space="preserve"> but </w:t>
      </w:r>
      <w:r>
        <w:t xml:space="preserve">not </w:t>
      </w:r>
      <w:r w:rsidRPr="00306648">
        <w:t xml:space="preserve">your full address </w:t>
      </w:r>
      <w:r>
        <w:t>or</w:t>
      </w:r>
      <w:r w:rsidRPr="00306648">
        <w:t xml:space="preserve"> contact details</w:t>
      </w:r>
      <w:r>
        <w:t>.</w:t>
      </w:r>
      <w:r w:rsidRPr="00306648">
        <w:t xml:space="preserve"> </w:t>
      </w:r>
      <w:r>
        <w:t xml:space="preserve">See the submission guide or VEC website at </w:t>
      </w:r>
      <w:hyperlink r:id="rId16" w:tooltip="Link to VEC website Privacy page" w:history="1">
        <w:r w:rsidRPr="00825118">
          <w:rPr>
            <w:rStyle w:val="Hyperlink"/>
          </w:rPr>
          <w:t>vec.vic.gov.au/privacy</w:t>
        </w:r>
      </w:hyperlink>
      <w:r>
        <w:t xml:space="preserve"> for privacy information.</w:t>
      </w:r>
    </w:p>
    <w:p w14:paraId="5E0D06D3" w14:textId="3FEB2CF5" w:rsidR="00280596" w:rsidRDefault="000378E4" w:rsidP="00AD7E22">
      <w:pPr>
        <w:pStyle w:val="Heading2"/>
        <w:spacing w:after="120"/>
      </w:pPr>
      <w:r w:rsidRPr="00E2340E">
        <w:t xml:space="preserve"> </w:t>
      </w:r>
      <w:r w:rsidR="00280596">
        <w:t xml:space="preserve">One vote, one value </w:t>
      </w:r>
    </w:p>
    <w:p w14:paraId="0CEE9769" w14:textId="77777777" w:rsidR="005E529B" w:rsidRDefault="005E529B" w:rsidP="005E529B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7DA6275" w14:textId="77777777" w:rsidR="009B15EF" w:rsidRPr="002528BB" w:rsidRDefault="009B15EF" w:rsidP="009B15EF">
      <w:pPr>
        <w:pStyle w:val="Body"/>
        <w:spacing w:after="160" w:line="240" w:lineRule="auto"/>
      </w:pPr>
      <w:r>
        <w:t xml:space="preserve">When a local council is subdivided into wards, the number of voters each councillor represents in each ward must be plus-or-minus 10% </w:t>
      </w:r>
      <w:r w:rsidRPr="0051766D">
        <w:t>of the average number of voters per councillor for all wards</w:t>
      </w:r>
      <w:r w:rsidRPr="002528BB">
        <w:t xml:space="preserve">. </w:t>
      </w:r>
    </w:p>
    <w:p w14:paraId="19A3AA0A" w14:textId="77777777" w:rsidR="00FF3CA9" w:rsidRDefault="00FF3CA9" w:rsidP="00FF3CA9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630C16FB" w14:textId="77777777" w:rsidR="00442535" w:rsidRDefault="007F05B6" w:rsidP="009C7919">
      <w:pPr>
        <w:spacing w:after="160" w:line="240" w:lineRule="auto"/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</w:t>
      </w:r>
      <w:r w:rsidR="0072203E">
        <w:t>.</w:t>
      </w:r>
    </w:p>
    <w:p w14:paraId="67E7E1BE" w14:textId="77777777" w:rsidR="00C34A25" w:rsidRDefault="00C34A25" w:rsidP="009C7919">
      <w:pPr>
        <w:spacing w:after="160" w:line="240" w:lineRule="auto"/>
      </w:pPr>
    </w:p>
    <w:p w14:paraId="21AEF816" w14:textId="329A6380" w:rsidR="004939F9" w:rsidRDefault="004939F9" w:rsidP="009C7919">
      <w:pPr>
        <w:spacing w:after="160" w:line="240" w:lineRule="auto"/>
        <w:sectPr w:rsidR="004939F9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326A817" w14:textId="62B9BF37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65E51A39" w:rsidR="00E829F5" w:rsidRDefault="007E0D4B" w:rsidP="00E829F5">
      <w:r>
        <w:rPr>
          <w:noProof/>
        </w:rPr>
        <w:drawing>
          <wp:anchor distT="0" distB="0" distL="114300" distR="114300" simplePos="0" relativeHeight="251658245" behindDoc="0" locked="0" layoutInCell="1" allowOverlap="1" wp14:anchorId="51277675" wp14:editId="70A3B23B">
            <wp:simplePos x="0" y="0"/>
            <wp:positionH relativeFrom="margin">
              <wp:align>left</wp:align>
            </wp:positionH>
            <wp:positionV relativeFrom="paragraph">
              <wp:posOffset>18680</wp:posOffset>
            </wp:positionV>
            <wp:extent cx="5982230" cy="4391247"/>
            <wp:effectExtent l="0" t="0" r="0" b="0"/>
            <wp:wrapNone/>
            <wp:docPr id="8" name="Picture 8" descr="Map of the electoral structure of Brimbank City Council showing the area is divided into 4 wards. As at July 2023 there are 11 councillors and a total of 136,190 vo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the electoral structure of Brimbank City Council showing the area is divided into 4 wards. As at July 2023 there are 11 councillors and a total of 136,190 voters.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6" cy="439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E2208" w14:textId="780EABE3" w:rsidR="00E829F5" w:rsidRDefault="00E829F5" w:rsidP="00E829F5"/>
    <w:p w14:paraId="159BFA76" w14:textId="0292E7C7" w:rsidR="00E829F5" w:rsidRDefault="00E829F5" w:rsidP="00E829F5"/>
    <w:p w14:paraId="201A1EB7" w14:textId="77777777" w:rsidR="00E829F5" w:rsidRDefault="00E829F5" w:rsidP="00E829F5"/>
    <w:p w14:paraId="4FC94E5A" w14:textId="454DB61C" w:rsidR="00E829F5" w:rsidRDefault="00E829F5" w:rsidP="00E829F5"/>
    <w:p w14:paraId="51503C5E" w14:textId="1F5C3E4E" w:rsidR="00FF4BBC" w:rsidRDefault="00FF4BBC" w:rsidP="00E829F5"/>
    <w:p w14:paraId="30CEFBB9" w14:textId="71E68A0F" w:rsidR="00303185" w:rsidRDefault="00303185" w:rsidP="00E829F5"/>
    <w:p w14:paraId="344B4CD3" w14:textId="69FCED62" w:rsidR="00F331DF" w:rsidRDefault="00F331DF" w:rsidP="00E829F5"/>
    <w:p w14:paraId="272BA8A9" w14:textId="2C3277EF" w:rsidR="00F331DF" w:rsidRDefault="00F331DF" w:rsidP="00E829F5"/>
    <w:p w14:paraId="272FCCA4" w14:textId="6FCA679F" w:rsidR="007A7027" w:rsidRDefault="007A7027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Brimbank City Council ward details"/>
        <w:tblDescription w:val="Table of the 4 wards in Brimbank City Council with number of councillors, voters and +/- % deviations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4F04EFD0" w:rsidR="00043421" w:rsidRPr="007C7BB3" w:rsidRDefault="00AD7E22">
            <w:pPr>
              <w:spacing w:after="0" w:line="240" w:lineRule="auto"/>
            </w:pPr>
            <w:r>
              <w:t>Grasslands Ward</w:t>
            </w:r>
          </w:p>
        </w:tc>
        <w:tc>
          <w:tcPr>
            <w:tcW w:w="1710" w:type="dxa"/>
          </w:tcPr>
          <w:p w14:paraId="3E2481E2" w14:textId="0B70D868" w:rsidR="00043421" w:rsidRPr="007C7BB3" w:rsidRDefault="00AD7E2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DFBF4C6" w14:textId="021C6896" w:rsidR="00043421" w:rsidRPr="007C7BB3" w:rsidRDefault="00F01B90">
            <w:pPr>
              <w:spacing w:after="0" w:line="240" w:lineRule="auto"/>
              <w:jc w:val="right"/>
            </w:pPr>
            <w:r>
              <w:t>37,874</w:t>
            </w:r>
          </w:p>
        </w:tc>
        <w:tc>
          <w:tcPr>
            <w:tcW w:w="1701" w:type="dxa"/>
          </w:tcPr>
          <w:p w14:paraId="52FFF372" w14:textId="034563E0" w:rsidR="00043421" w:rsidRPr="007C7BB3" w:rsidRDefault="00264D90">
            <w:pPr>
              <w:spacing w:after="0" w:line="240" w:lineRule="auto"/>
              <w:jc w:val="right"/>
            </w:pPr>
            <w:r>
              <w:t>+1.97%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735CFEAE" w:rsidR="00043421" w:rsidRPr="007C7BB3" w:rsidRDefault="00AD7E22">
            <w:pPr>
              <w:spacing w:after="0" w:line="240" w:lineRule="auto"/>
            </w:pPr>
            <w:r>
              <w:t>Harvester Ward</w:t>
            </w:r>
          </w:p>
        </w:tc>
        <w:tc>
          <w:tcPr>
            <w:tcW w:w="1710" w:type="dxa"/>
          </w:tcPr>
          <w:p w14:paraId="7C447210" w14:textId="51A34A47" w:rsidR="00043421" w:rsidRPr="007C7BB3" w:rsidRDefault="00AD7E2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E42FE41" w14:textId="04218E8F" w:rsidR="00043421" w:rsidRPr="007C7BB3" w:rsidRDefault="00B43EA8">
            <w:pPr>
              <w:spacing w:after="0" w:line="240" w:lineRule="auto"/>
              <w:jc w:val="right"/>
            </w:pPr>
            <w:r>
              <w:t>38,</w:t>
            </w:r>
            <w:r w:rsidR="0077730A">
              <w:t>937</w:t>
            </w:r>
          </w:p>
        </w:tc>
        <w:tc>
          <w:tcPr>
            <w:tcW w:w="1701" w:type="dxa"/>
          </w:tcPr>
          <w:p w14:paraId="43982C12" w14:textId="5570A423" w:rsidR="00043421" w:rsidRPr="007C7BB3" w:rsidRDefault="0077730A">
            <w:pPr>
              <w:spacing w:after="0" w:line="240" w:lineRule="auto"/>
              <w:jc w:val="right"/>
            </w:pPr>
            <w:r>
              <w:t>+4.83%</w:t>
            </w:r>
          </w:p>
        </w:tc>
      </w:tr>
      <w:tr w:rsidR="00043421" w:rsidRPr="007C7BB3" w14:paraId="3C20BEAB" w14:textId="18281C5B" w:rsidTr="007A7027">
        <w:tc>
          <w:tcPr>
            <w:tcW w:w="3388" w:type="dxa"/>
          </w:tcPr>
          <w:p w14:paraId="61889193" w14:textId="726C760F" w:rsidR="00043421" w:rsidRPr="007C7BB3" w:rsidRDefault="006602DC">
            <w:pPr>
              <w:spacing w:after="0" w:line="240" w:lineRule="auto"/>
            </w:pPr>
            <w:r>
              <w:t>Horseshoe</w:t>
            </w:r>
            <w:r w:rsidR="00AD7E22">
              <w:t xml:space="preserve"> Bend Ward</w:t>
            </w:r>
          </w:p>
        </w:tc>
        <w:tc>
          <w:tcPr>
            <w:tcW w:w="1710" w:type="dxa"/>
          </w:tcPr>
          <w:p w14:paraId="4F45998E" w14:textId="00461886" w:rsidR="00043421" w:rsidRPr="007C7BB3" w:rsidRDefault="00AD7E22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701" w:type="dxa"/>
          </w:tcPr>
          <w:p w14:paraId="62D34593" w14:textId="680DAE08" w:rsidR="00043421" w:rsidRPr="007C7BB3" w:rsidRDefault="004A3D6F">
            <w:pPr>
              <w:spacing w:after="0" w:line="240" w:lineRule="auto"/>
              <w:jc w:val="right"/>
            </w:pPr>
            <w:r>
              <w:t>22,834</w:t>
            </w:r>
          </w:p>
        </w:tc>
        <w:tc>
          <w:tcPr>
            <w:tcW w:w="1701" w:type="dxa"/>
          </w:tcPr>
          <w:p w14:paraId="55D48921" w14:textId="2C1DC7EB" w:rsidR="00043421" w:rsidRPr="007C7BB3" w:rsidRDefault="00414319">
            <w:pPr>
              <w:spacing w:after="0" w:line="240" w:lineRule="auto"/>
              <w:jc w:val="right"/>
            </w:pPr>
            <w:r>
              <w:t>-7.79%</w:t>
            </w:r>
          </w:p>
        </w:tc>
      </w:tr>
      <w:tr w:rsidR="00043421" w:rsidRPr="007C7BB3" w14:paraId="73F76A08" w14:textId="2E75621F" w:rsidTr="007A7027">
        <w:tc>
          <w:tcPr>
            <w:tcW w:w="3388" w:type="dxa"/>
          </w:tcPr>
          <w:p w14:paraId="4F3F770B" w14:textId="6E96BE71" w:rsidR="00043421" w:rsidRPr="007C7BB3" w:rsidRDefault="00AD7E22">
            <w:pPr>
              <w:spacing w:after="0" w:line="240" w:lineRule="auto"/>
            </w:pPr>
            <w:r>
              <w:t>Taylors Ward</w:t>
            </w:r>
          </w:p>
        </w:tc>
        <w:tc>
          <w:tcPr>
            <w:tcW w:w="1710" w:type="dxa"/>
          </w:tcPr>
          <w:p w14:paraId="50C6C16E" w14:textId="2814F5DB" w:rsidR="00043421" w:rsidRPr="007C7BB3" w:rsidRDefault="00AD7E22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4CD4CB4F" w14:textId="6436F990" w:rsidR="00043421" w:rsidRPr="007C7BB3" w:rsidRDefault="00807F09">
            <w:pPr>
              <w:spacing w:after="0" w:line="240" w:lineRule="auto"/>
              <w:jc w:val="right"/>
            </w:pPr>
            <w:r>
              <w:t>36</w:t>
            </w:r>
            <w:r w:rsidR="009D0FCC">
              <w:t>,545</w:t>
            </w:r>
          </w:p>
        </w:tc>
        <w:tc>
          <w:tcPr>
            <w:tcW w:w="1701" w:type="dxa"/>
          </w:tcPr>
          <w:p w14:paraId="68420804" w14:textId="1CC46876" w:rsidR="00043421" w:rsidRPr="007C7BB3" w:rsidRDefault="00ED1D26">
            <w:pPr>
              <w:spacing w:after="0" w:line="240" w:lineRule="auto"/>
              <w:jc w:val="right"/>
            </w:pPr>
            <w:r>
              <w:t>-1.61%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4EFF6B6D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AD7E22">
        <w:t>123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57C75C6C" w:rsidR="00E36B4A" w:rsidRDefault="00E36B4A" w:rsidP="00E36B4A">
      <w:pPr>
        <w:pStyle w:val="Heading3"/>
      </w:pPr>
      <w:r>
        <w:t xml:space="preserve">Voter density (per </w:t>
      </w:r>
      <w:r w:rsidR="003D489C">
        <w:t xml:space="preserve">square </w:t>
      </w:r>
      <w:r>
        <w:t>km)</w:t>
      </w:r>
    </w:p>
    <w:p w14:paraId="2A013E8B" w14:textId="2AC2E6D9" w:rsidR="00E36B4A" w:rsidRDefault="00AD7E22" w:rsidP="00E36B4A">
      <w:pPr>
        <w:pStyle w:val="Body"/>
      </w:pPr>
      <w:r>
        <w:t>1</w:t>
      </w:r>
      <w:r w:rsidR="00E54EFE">
        <w:t>,</w:t>
      </w:r>
      <w:r>
        <w:t>107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53E29DE6" w:rsidR="00D4462E" w:rsidRPr="00D4462E" w:rsidRDefault="00AD7E22" w:rsidP="00881EBC">
      <w:r>
        <w:t>12,380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6BB33691" w:rsidR="004B7D1A" w:rsidRDefault="00AD7E22" w:rsidP="00846705">
      <w:pPr>
        <w:pStyle w:val="Body"/>
      </w:pPr>
      <w:r>
        <w:t>194,618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4C9FB382" w:rsidR="004B7D1A" w:rsidRPr="004B7D1A" w:rsidRDefault="00AD7E22" w:rsidP="004B7D1A">
      <w:r w:rsidRPr="00AD7E22">
        <w:t xml:space="preserve">0.3 </w:t>
      </w:r>
      <w:r w:rsidR="004B7D1A" w:rsidRPr="00AD7E22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37C90E5D" w:rsidR="00846705" w:rsidRPr="00F56201" w:rsidRDefault="00C53A62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 w:rsidR="00213166"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665353BE" w:rsidR="00E2340E" w:rsidRPr="003730AE" w:rsidRDefault="00826940" w:rsidP="003730AE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401BFC92" wp14:editId="4FB88BB5">
            <wp:simplePos x="0" y="0"/>
            <wp:positionH relativeFrom="column">
              <wp:posOffset>3810</wp:posOffset>
            </wp:positionH>
            <wp:positionV relativeFrom="paragraph">
              <wp:posOffset>427355</wp:posOffset>
            </wp:positionV>
            <wp:extent cx="6118860" cy="8654415"/>
            <wp:effectExtent l="0" t="0" r="0" b="0"/>
            <wp:wrapNone/>
            <wp:docPr id="7" name="Picture 7" descr="Map of Brimbank City Council divided by suburb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Brimbank City Council divided by suburb. Data provided in the table below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4BFA3F21" w14:textId="336289F5" w:rsidR="00E2340E" w:rsidRDefault="00E2340E" w:rsidP="004D1C77"/>
    <w:p w14:paraId="0AA1D0C1" w14:textId="7CD22B77" w:rsidR="00876CFA" w:rsidRDefault="00876CFA" w:rsidP="004D1C77"/>
    <w:p w14:paraId="25DA6CA4" w14:textId="4786A585" w:rsidR="00876CFA" w:rsidRDefault="00876CFA" w:rsidP="004D1C77"/>
    <w:p w14:paraId="1388C645" w14:textId="012B0E93" w:rsidR="00876CFA" w:rsidRDefault="00876CFA" w:rsidP="004D1C77"/>
    <w:p w14:paraId="6BDAD825" w14:textId="45A2ECDE" w:rsidR="00876CFA" w:rsidRDefault="00876CFA" w:rsidP="004D1C77"/>
    <w:p w14:paraId="1665D58C" w14:textId="5BBE079E" w:rsidR="00876CFA" w:rsidRDefault="00876CFA" w:rsidP="004D1C77"/>
    <w:p w14:paraId="7E7F8BC6" w14:textId="77777777" w:rsidR="00883F89" w:rsidRDefault="00883F89">
      <w:pPr>
        <w:spacing w:after="160" w:line="259" w:lineRule="auto"/>
        <w:rPr>
          <w:highlight w:val="yellow"/>
        </w:rPr>
      </w:pPr>
    </w:p>
    <w:p w14:paraId="6B8CFC55" w14:textId="77777777" w:rsidR="00EA5B61" w:rsidRDefault="00EA5B61">
      <w:pPr>
        <w:spacing w:after="160" w:line="259" w:lineRule="auto"/>
        <w:rPr>
          <w:highlight w:val="yellow"/>
        </w:rPr>
        <w:sectPr w:rsidR="00EA5B61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EA5B61">
      <w:pPr>
        <w:pStyle w:val="Heading1A"/>
        <w:ind w:left="426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5AC333EC" w14:textId="7C8CAB6A" w:rsidR="00A51DFB" w:rsidRDefault="00484EC7" w:rsidP="00EA5B61">
      <w:pPr>
        <w:pStyle w:val="Heading2"/>
        <w:ind w:left="426"/>
        <w:sectPr w:rsidR="00A51DFB" w:rsidSect="00B52C46">
          <w:footerReference w:type="default" r:id="rId20"/>
          <w:pgSz w:w="11906" w:h="16838" w:code="9"/>
          <w:pgMar w:top="737" w:right="1134" w:bottom="1134" w:left="737" w:header="397" w:footer="397" w:gutter="0"/>
          <w:cols w:space="708"/>
          <w:docGrid w:linePitch="360"/>
        </w:sectPr>
      </w:pPr>
      <w:r>
        <w:t>Brimbank City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534F15">
        <w:t>25 July 202</w:t>
      </w:r>
      <w:r w:rsidR="00B52C46">
        <w:t>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Brimbank City Council. Localities are listed alphabetically.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A7A95" w14:paraId="2F66B2D4" w14:textId="77777777" w:rsidTr="00563664">
        <w:tc>
          <w:tcPr>
            <w:tcW w:w="2376" w:type="dxa"/>
          </w:tcPr>
          <w:p w14:paraId="43118EA8" w14:textId="04A08FEC" w:rsidR="005A7A95" w:rsidRDefault="008E518C" w:rsidP="00E670D3">
            <w:pPr>
              <w:spacing w:after="0" w:line="240" w:lineRule="auto"/>
            </w:pPr>
            <w:r w:rsidRPr="00EF2E4D">
              <w:t>Albanvale</w:t>
            </w:r>
          </w:p>
        </w:tc>
        <w:tc>
          <w:tcPr>
            <w:tcW w:w="1276" w:type="dxa"/>
          </w:tcPr>
          <w:p w14:paraId="139AA989" w14:textId="5BF77618" w:rsidR="005A7A95" w:rsidRDefault="008E518C" w:rsidP="008B4863">
            <w:pPr>
              <w:spacing w:after="0" w:line="240" w:lineRule="auto"/>
              <w:jc w:val="right"/>
            </w:pPr>
            <w:r w:rsidRPr="00EF2E4D">
              <w:t>3</w:t>
            </w:r>
            <w:r w:rsidR="000C0B90">
              <w:t>,</w:t>
            </w:r>
            <w:r w:rsidRPr="00EF2E4D">
              <w:t>801</w:t>
            </w:r>
          </w:p>
        </w:tc>
      </w:tr>
      <w:tr w:rsidR="005A7A95" w14:paraId="2A3A471E" w14:textId="77777777" w:rsidTr="00563664">
        <w:tc>
          <w:tcPr>
            <w:tcW w:w="2376" w:type="dxa"/>
          </w:tcPr>
          <w:p w14:paraId="11E7427D" w14:textId="7C49AB0D" w:rsidR="005A7A95" w:rsidRDefault="008E518C" w:rsidP="00E670D3">
            <w:pPr>
              <w:spacing w:after="0" w:line="240" w:lineRule="auto"/>
            </w:pPr>
            <w:r w:rsidRPr="00EF2E4D">
              <w:t>Albion</w:t>
            </w:r>
          </w:p>
        </w:tc>
        <w:tc>
          <w:tcPr>
            <w:tcW w:w="1276" w:type="dxa"/>
          </w:tcPr>
          <w:p w14:paraId="6FEE7638" w14:textId="3F7A54AE" w:rsidR="005A7A95" w:rsidRDefault="008E518C" w:rsidP="008B4863">
            <w:pPr>
              <w:spacing w:after="0" w:line="240" w:lineRule="auto"/>
              <w:jc w:val="right"/>
            </w:pPr>
            <w:r w:rsidRPr="00EF2E4D">
              <w:t>3</w:t>
            </w:r>
            <w:r w:rsidR="000C0B90">
              <w:t>,</w:t>
            </w:r>
            <w:r w:rsidRPr="00EF2E4D">
              <w:t>163</w:t>
            </w:r>
          </w:p>
        </w:tc>
      </w:tr>
      <w:tr w:rsidR="005A7A95" w14:paraId="5FE104B4" w14:textId="77777777" w:rsidTr="00563664">
        <w:tc>
          <w:tcPr>
            <w:tcW w:w="2376" w:type="dxa"/>
          </w:tcPr>
          <w:p w14:paraId="18C71EA5" w14:textId="34B7AD65" w:rsidR="005A7A95" w:rsidRDefault="008E518C" w:rsidP="00E670D3">
            <w:pPr>
              <w:spacing w:after="0" w:line="240" w:lineRule="auto"/>
            </w:pPr>
            <w:r w:rsidRPr="00EF2E4D">
              <w:t>Ardeer</w:t>
            </w:r>
          </w:p>
        </w:tc>
        <w:tc>
          <w:tcPr>
            <w:tcW w:w="1276" w:type="dxa"/>
          </w:tcPr>
          <w:p w14:paraId="29EF6421" w14:textId="530F6882" w:rsidR="005A7A95" w:rsidRDefault="008E518C" w:rsidP="008B4863">
            <w:pPr>
              <w:spacing w:after="0" w:line="240" w:lineRule="auto"/>
              <w:jc w:val="right"/>
            </w:pPr>
            <w:r w:rsidRPr="00EF2E4D">
              <w:t>2</w:t>
            </w:r>
            <w:r w:rsidR="000C0B90">
              <w:t>,</w:t>
            </w:r>
            <w:r w:rsidRPr="00EF2E4D">
              <w:t>153</w:t>
            </w:r>
          </w:p>
        </w:tc>
      </w:tr>
      <w:tr w:rsidR="005A7A95" w14:paraId="18431158" w14:textId="77777777" w:rsidTr="00563664">
        <w:tc>
          <w:tcPr>
            <w:tcW w:w="2376" w:type="dxa"/>
          </w:tcPr>
          <w:p w14:paraId="567E4881" w14:textId="2DF13096" w:rsidR="005A7A95" w:rsidRDefault="008E518C" w:rsidP="00E670D3">
            <w:pPr>
              <w:spacing w:after="0" w:line="240" w:lineRule="auto"/>
            </w:pPr>
            <w:r w:rsidRPr="00EF2E4D">
              <w:t>Brooklyn</w:t>
            </w:r>
          </w:p>
        </w:tc>
        <w:tc>
          <w:tcPr>
            <w:tcW w:w="1276" w:type="dxa"/>
          </w:tcPr>
          <w:p w14:paraId="45B051E8" w14:textId="18E1C7B5" w:rsidR="005A7A95" w:rsidRDefault="008E518C" w:rsidP="008B4863">
            <w:pPr>
              <w:spacing w:after="0" w:line="240" w:lineRule="auto"/>
              <w:jc w:val="right"/>
            </w:pPr>
            <w:r w:rsidRPr="00EF2E4D">
              <w:t>57</w:t>
            </w:r>
          </w:p>
        </w:tc>
      </w:tr>
      <w:tr w:rsidR="005A7A95" w14:paraId="6077AC09" w14:textId="77777777" w:rsidTr="00563664">
        <w:tc>
          <w:tcPr>
            <w:tcW w:w="2376" w:type="dxa"/>
          </w:tcPr>
          <w:p w14:paraId="5FFD0B33" w14:textId="28B71CBC" w:rsidR="005A7A95" w:rsidRDefault="008E518C" w:rsidP="00E670D3">
            <w:pPr>
              <w:spacing w:after="0" w:line="240" w:lineRule="auto"/>
            </w:pPr>
            <w:r w:rsidRPr="00EF2E4D">
              <w:t>Cairnlea</w:t>
            </w:r>
          </w:p>
        </w:tc>
        <w:tc>
          <w:tcPr>
            <w:tcW w:w="1276" w:type="dxa"/>
          </w:tcPr>
          <w:p w14:paraId="09A38024" w14:textId="11292024" w:rsidR="005A7A95" w:rsidRDefault="008E518C" w:rsidP="008B4863">
            <w:pPr>
              <w:spacing w:after="0" w:line="240" w:lineRule="auto"/>
              <w:jc w:val="right"/>
            </w:pPr>
            <w:r w:rsidRPr="00EF2E4D">
              <w:t>6</w:t>
            </w:r>
            <w:r w:rsidR="000C0B90">
              <w:t>,</w:t>
            </w:r>
            <w:r w:rsidRPr="00EF2E4D">
              <w:t>927</w:t>
            </w:r>
          </w:p>
        </w:tc>
      </w:tr>
      <w:tr w:rsidR="005A7A95" w14:paraId="663D9B17" w14:textId="77777777" w:rsidTr="00563664">
        <w:tc>
          <w:tcPr>
            <w:tcW w:w="2376" w:type="dxa"/>
          </w:tcPr>
          <w:p w14:paraId="6A0FAFA1" w14:textId="16719263" w:rsidR="005A7A95" w:rsidRDefault="008E518C" w:rsidP="00E670D3">
            <w:pPr>
              <w:spacing w:after="0" w:line="240" w:lineRule="auto"/>
            </w:pPr>
            <w:r w:rsidRPr="00EF2E4D">
              <w:t>Calder Park</w:t>
            </w:r>
          </w:p>
        </w:tc>
        <w:tc>
          <w:tcPr>
            <w:tcW w:w="1276" w:type="dxa"/>
          </w:tcPr>
          <w:p w14:paraId="76D1B5EF" w14:textId="1E09A6B3" w:rsidR="005A7A95" w:rsidRDefault="008E518C" w:rsidP="008B4863">
            <w:pPr>
              <w:spacing w:after="0" w:line="240" w:lineRule="auto"/>
              <w:jc w:val="right"/>
            </w:pPr>
            <w:r w:rsidRPr="00EF2E4D">
              <w:t>0</w:t>
            </w:r>
          </w:p>
        </w:tc>
      </w:tr>
      <w:tr w:rsidR="00E670D3" w14:paraId="08E16CA4" w14:textId="77777777" w:rsidTr="00563664">
        <w:tc>
          <w:tcPr>
            <w:tcW w:w="2376" w:type="dxa"/>
          </w:tcPr>
          <w:p w14:paraId="67397F6C" w14:textId="734CE67C" w:rsidR="00E670D3" w:rsidRDefault="008E518C" w:rsidP="00E670D3">
            <w:pPr>
              <w:spacing w:after="0" w:line="240" w:lineRule="auto"/>
            </w:pPr>
            <w:r w:rsidRPr="00EF2E4D">
              <w:t>Deer Park</w:t>
            </w:r>
          </w:p>
        </w:tc>
        <w:tc>
          <w:tcPr>
            <w:tcW w:w="1276" w:type="dxa"/>
          </w:tcPr>
          <w:p w14:paraId="23DA4DA5" w14:textId="71C2C18B" w:rsidR="00E670D3" w:rsidRDefault="008E518C" w:rsidP="008B4863">
            <w:pPr>
              <w:spacing w:after="0" w:line="240" w:lineRule="auto"/>
              <w:jc w:val="right"/>
            </w:pPr>
            <w:r w:rsidRPr="00EF2E4D">
              <w:t>11</w:t>
            </w:r>
            <w:r w:rsidR="000C0B90">
              <w:t>,</w:t>
            </w:r>
            <w:r w:rsidRPr="00EF2E4D">
              <w:t>886</w:t>
            </w:r>
          </w:p>
        </w:tc>
      </w:tr>
      <w:tr w:rsidR="00E670D3" w14:paraId="7380D8B1" w14:textId="77777777" w:rsidTr="00563664">
        <w:tc>
          <w:tcPr>
            <w:tcW w:w="2376" w:type="dxa"/>
          </w:tcPr>
          <w:p w14:paraId="15D47673" w14:textId="094CE912" w:rsidR="00E670D3" w:rsidRDefault="008E518C" w:rsidP="00E670D3">
            <w:pPr>
              <w:spacing w:after="0" w:line="240" w:lineRule="auto"/>
            </w:pPr>
            <w:r w:rsidRPr="00EF2E4D">
              <w:t>Delahey</w:t>
            </w:r>
          </w:p>
        </w:tc>
        <w:tc>
          <w:tcPr>
            <w:tcW w:w="1276" w:type="dxa"/>
          </w:tcPr>
          <w:p w14:paraId="12D0E8D4" w14:textId="5787E1BD" w:rsidR="00E670D3" w:rsidRDefault="008E518C" w:rsidP="008B4863">
            <w:pPr>
              <w:spacing w:after="0" w:line="240" w:lineRule="auto"/>
              <w:jc w:val="right"/>
            </w:pPr>
            <w:r w:rsidRPr="00EF2E4D">
              <w:t>6</w:t>
            </w:r>
            <w:r w:rsidR="000C0B90">
              <w:t>,</w:t>
            </w:r>
            <w:r w:rsidRPr="00EF2E4D">
              <w:t>008</w:t>
            </w:r>
          </w:p>
        </w:tc>
      </w:tr>
      <w:tr w:rsidR="00E670D3" w14:paraId="13FEEAAF" w14:textId="77777777" w:rsidTr="00563664">
        <w:tc>
          <w:tcPr>
            <w:tcW w:w="2376" w:type="dxa"/>
          </w:tcPr>
          <w:p w14:paraId="730856A0" w14:textId="27846F5B" w:rsidR="00E670D3" w:rsidRDefault="008E518C" w:rsidP="00E670D3">
            <w:pPr>
              <w:spacing w:after="0" w:line="240" w:lineRule="auto"/>
            </w:pPr>
            <w:r w:rsidRPr="00EF2E4D">
              <w:t>Derrimut</w:t>
            </w:r>
          </w:p>
        </w:tc>
        <w:tc>
          <w:tcPr>
            <w:tcW w:w="1276" w:type="dxa"/>
          </w:tcPr>
          <w:p w14:paraId="21F01FC1" w14:textId="12EBED66" w:rsidR="00E670D3" w:rsidRDefault="008E518C" w:rsidP="008B4863">
            <w:pPr>
              <w:spacing w:after="0" w:line="240" w:lineRule="auto"/>
              <w:jc w:val="right"/>
            </w:pPr>
            <w:r w:rsidRPr="00EF2E4D">
              <w:t>5</w:t>
            </w:r>
            <w:r w:rsidR="000C0B90">
              <w:t>,</w:t>
            </w:r>
            <w:r w:rsidRPr="00EF2E4D">
              <w:t>168</w:t>
            </w:r>
          </w:p>
        </w:tc>
      </w:tr>
      <w:tr w:rsidR="00E670D3" w14:paraId="1B615D7C" w14:textId="77777777" w:rsidTr="00563664">
        <w:tc>
          <w:tcPr>
            <w:tcW w:w="2376" w:type="dxa"/>
          </w:tcPr>
          <w:p w14:paraId="2EFDDD9F" w14:textId="7EB76CA6" w:rsidR="00E670D3" w:rsidRDefault="008E518C" w:rsidP="00E670D3">
            <w:pPr>
              <w:spacing w:after="0" w:line="240" w:lineRule="auto"/>
            </w:pPr>
            <w:r w:rsidRPr="00EF2E4D">
              <w:t>Hillside</w:t>
            </w:r>
          </w:p>
        </w:tc>
        <w:tc>
          <w:tcPr>
            <w:tcW w:w="1276" w:type="dxa"/>
          </w:tcPr>
          <w:p w14:paraId="5C2BE79D" w14:textId="5DD00E58" w:rsidR="00E670D3" w:rsidRDefault="008E518C" w:rsidP="008B4863">
            <w:pPr>
              <w:spacing w:after="0" w:line="240" w:lineRule="auto"/>
              <w:jc w:val="right"/>
            </w:pPr>
            <w:r w:rsidRPr="00EF2E4D">
              <w:t>894</w:t>
            </w:r>
          </w:p>
        </w:tc>
      </w:tr>
      <w:tr w:rsidR="00E670D3" w14:paraId="63390764" w14:textId="77777777" w:rsidTr="00563664">
        <w:tc>
          <w:tcPr>
            <w:tcW w:w="2376" w:type="dxa"/>
          </w:tcPr>
          <w:p w14:paraId="6B9E45D2" w14:textId="11C3317E" w:rsidR="00E670D3" w:rsidRDefault="008E518C" w:rsidP="00E670D3">
            <w:pPr>
              <w:spacing w:after="0" w:line="240" w:lineRule="auto"/>
            </w:pPr>
            <w:r w:rsidRPr="00EF2E4D">
              <w:t>Kealba</w:t>
            </w:r>
          </w:p>
        </w:tc>
        <w:tc>
          <w:tcPr>
            <w:tcW w:w="1276" w:type="dxa"/>
          </w:tcPr>
          <w:p w14:paraId="31E96E4B" w14:textId="7FFF1E71" w:rsidR="00E670D3" w:rsidRDefault="008E518C" w:rsidP="008B4863">
            <w:pPr>
              <w:spacing w:after="0" w:line="240" w:lineRule="auto"/>
              <w:jc w:val="right"/>
            </w:pPr>
            <w:r w:rsidRPr="00EF2E4D">
              <w:t>2</w:t>
            </w:r>
            <w:r w:rsidR="000C0B90">
              <w:t>,</w:t>
            </w:r>
            <w:r w:rsidRPr="00EF2E4D">
              <w:t>402</w:t>
            </w:r>
          </w:p>
        </w:tc>
      </w:tr>
      <w:tr w:rsidR="00E670D3" w14:paraId="1DA5CB6B" w14:textId="77777777" w:rsidTr="00563664">
        <w:tc>
          <w:tcPr>
            <w:tcW w:w="2376" w:type="dxa"/>
          </w:tcPr>
          <w:p w14:paraId="7D920906" w14:textId="45DEF799" w:rsidR="00E670D3" w:rsidRDefault="008E518C" w:rsidP="00E670D3">
            <w:pPr>
              <w:spacing w:after="0" w:line="240" w:lineRule="auto"/>
            </w:pPr>
            <w:r w:rsidRPr="00EF2E4D">
              <w:t>Keilor</w:t>
            </w:r>
          </w:p>
        </w:tc>
        <w:tc>
          <w:tcPr>
            <w:tcW w:w="1276" w:type="dxa"/>
          </w:tcPr>
          <w:p w14:paraId="66712503" w14:textId="793FE4AF" w:rsidR="00E670D3" w:rsidRDefault="008E518C" w:rsidP="008B4863">
            <w:pPr>
              <w:spacing w:after="0" w:line="240" w:lineRule="auto"/>
              <w:jc w:val="right"/>
            </w:pPr>
            <w:r w:rsidRPr="00EF2E4D">
              <w:t>4</w:t>
            </w:r>
            <w:r w:rsidR="000C0B90">
              <w:t>,</w:t>
            </w:r>
            <w:r w:rsidRPr="00EF2E4D">
              <w:t>604</w:t>
            </w:r>
          </w:p>
        </w:tc>
      </w:tr>
      <w:tr w:rsidR="00E670D3" w14:paraId="7CEEB0FA" w14:textId="77777777" w:rsidTr="00563664">
        <w:tc>
          <w:tcPr>
            <w:tcW w:w="2376" w:type="dxa"/>
          </w:tcPr>
          <w:p w14:paraId="5B538F02" w14:textId="08141AC8" w:rsidR="00E670D3" w:rsidRDefault="008E518C" w:rsidP="00E670D3">
            <w:pPr>
              <w:spacing w:after="0" w:line="240" w:lineRule="auto"/>
            </w:pPr>
            <w:r w:rsidRPr="00EF2E4D">
              <w:t>Keilor Downs</w:t>
            </w:r>
          </w:p>
        </w:tc>
        <w:tc>
          <w:tcPr>
            <w:tcW w:w="1276" w:type="dxa"/>
          </w:tcPr>
          <w:p w14:paraId="2FA23597" w14:textId="233515B9" w:rsidR="00E670D3" w:rsidRDefault="008E518C" w:rsidP="008B4863">
            <w:pPr>
              <w:spacing w:after="0" w:line="240" w:lineRule="auto"/>
              <w:jc w:val="right"/>
            </w:pPr>
            <w:r w:rsidRPr="00EF2E4D">
              <w:t>7</w:t>
            </w:r>
            <w:r w:rsidR="000C0B90">
              <w:t>,</w:t>
            </w:r>
            <w:r w:rsidRPr="00EF2E4D">
              <w:t>576</w:t>
            </w:r>
          </w:p>
        </w:tc>
      </w:tr>
      <w:tr w:rsidR="00E670D3" w14:paraId="6366ECF4" w14:textId="77777777" w:rsidTr="00563664">
        <w:tc>
          <w:tcPr>
            <w:tcW w:w="2376" w:type="dxa"/>
          </w:tcPr>
          <w:p w14:paraId="7091B15A" w14:textId="636577E9" w:rsidR="00E670D3" w:rsidRDefault="008E518C" w:rsidP="00E670D3">
            <w:pPr>
              <w:spacing w:after="0" w:line="240" w:lineRule="auto"/>
            </w:pPr>
            <w:r w:rsidRPr="00EF2E4D">
              <w:t>Keilor East</w:t>
            </w:r>
          </w:p>
        </w:tc>
        <w:tc>
          <w:tcPr>
            <w:tcW w:w="1276" w:type="dxa"/>
          </w:tcPr>
          <w:p w14:paraId="204DCAB9" w14:textId="46B6143D" w:rsidR="00E670D3" w:rsidRDefault="008E518C" w:rsidP="008B4863">
            <w:pPr>
              <w:spacing w:after="0" w:line="240" w:lineRule="auto"/>
              <w:jc w:val="right"/>
            </w:pPr>
            <w:r w:rsidRPr="00EF2E4D">
              <w:t>144</w:t>
            </w:r>
          </w:p>
        </w:tc>
      </w:tr>
      <w:tr w:rsidR="00E670D3" w14:paraId="1A531215" w14:textId="77777777" w:rsidTr="00563664">
        <w:tc>
          <w:tcPr>
            <w:tcW w:w="2376" w:type="dxa"/>
          </w:tcPr>
          <w:p w14:paraId="5FA73334" w14:textId="523345E5" w:rsidR="00E670D3" w:rsidRDefault="008E518C" w:rsidP="00E670D3">
            <w:pPr>
              <w:spacing w:after="0" w:line="240" w:lineRule="auto"/>
            </w:pPr>
            <w:r w:rsidRPr="00EF2E4D">
              <w:t>Keilor Lodge</w:t>
            </w:r>
          </w:p>
        </w:tc>
        <w:tc>
          <w:tcPr>
            <w:tcW w:w="1276" w:type="dxa"/>
          </w:tcPr>
          <w:p w14:paraId="2C642E5B" w14:textId="468F0F55" w:rsidR="00E670D3" w:rsidRDefault="008E518C" w:rsidP="008B4863">
            <w:pPr>
              <w:spacing w:after="0" w:line="240" w:lineRule="auto"/>
              <w:jc w:val="right"/>
            </w:pPr>
            <w:r w:rsidRPr="00EF2E4D">
              <w:t>1</w:t>
            </w:r>
            <w:r w:rsidR="000C0B90">
              <w:t>,</w:t>
            </w:r>
            <w:r w:rsidRPr="00EF2E4D">
              <w:t>267</w:t>
            </w:r>
          </w:p>
        </w:tc>
      </w:tr>
      <w:tr w:rsidR="00E670D3" w14:paraId="60C5D389" w14:textId="77777777" w:rsidTr="00563664">
        <w:tc>
          <w:tcPr>
            <w:tcW w:w="2376" w:type="dxa"/>
          </w:tcPr>
          <w:p w14:paraId="0865D805" w14:textId="5C1AE130" w:rsidR="00E670D3" w:rsidRDefault="008E518C" w:rsidP="00E670D3">
            <w:pPr>
              <w:spacing w:after="0" w:line="240" w:lineRule="auto"/>
            </w:pPr>
            <w:r w:rsidRPr="00EF2E4D">
              <w:t>Keilor North</w:t>
            </w:r>
          </w:p>
        </w:tc>
        <w:tc>
          <w:tcPr>
            <w:tcW w:w="1276" w:type="dxa"/>
          </w:tcPr>
          <w:p w14:paraId="461CFA94" w14:textId="0E3DD026" w:rsidR="00E670D3" w:rsidRDefault="008E518C" w:rsidP="008B4863">
            <w:pPr>
              <w:spacing w:after="0" w:line="240" w:lineRule="auto"/>
              <w:jc w:val="right"/>
            </w:pPr>
            <w:r w:rsidRPr="00EF2E4D">
              <w:t>51</w:t>
            </w:r>
          </w:p>
        </w:tc>
      </w:tr>
      <w:tr w:rsidR="00E670D3" w14:paraId="32A2C38F" w14:textId="77777777" w:rsidTr="00563664">
        <w:tc>
          <w:tcPr>
            <w:tcW w:w="2376" w:type="dxa"/>
          </w:tcPr>
          <w:p w14:paraId="273554E0" w14:textId="7466EFE2" w:rsidR="00E670D3" w:rsidRDefault="008E518C" w:rsidP="00E670D3">
            <w:pPr>
              <w:spacing w:after="0" w:line="240" w:lineRule="auto"/>
            </w:pPr>
            <w:r w:rsidRPr="00EF2E4D">
              <w:t>Keilor Park</w:t>
            </w:r>
          </w:p>
        </w:tc>
        <w:tc>
          <w:tcPr>
            <w:tcW w:w="1276" w:type="dxa"/>
          </w:tcPr>
          <w:p w14:paraId="4405EEB1" w14:textId="794C0166" w:rsidR="00E670D3" w:rsidRDefault="008E518C" w:rsidP="008B4863">
            <w:pPr>
              <w:spacing w:after="0" w:line="240" w:lineRule="auto"/>
              <w:jc w:val="right"/>
            </w:pPr>
            <w:r w:rsidRPr="00EF2E4D">
              <w:t>2</w:t>
            </w:r>
            <w:r w:rsidR="000C0B90">
              <w:t>,</w:t>
            </w:r>
            <w:r w:rsidRPr="00EF2E4D">
              <w:t>188</w:t>
            </w:r>
          </w:p>
        </w:tc>
      </w:tr>
      <w:tr w:rsidR="00E670D3" w14:paraId="776B96BA" w14:textId="77777777" w:rsidTr="00563664">
        <w:tc>
          <w:tcPr>
            <w:tcW w:w="2376" w:type="dxa"/>
          </w:tcPr>
          <w:p w14:paraId="378C5B43" w14:textId="22AB826E" w:rsidR="00E670D3" w:rsidRDefault="008E518C" w:rsidP="00E670D3">
            <w:pPr>
              <w:spacing w:after="0" w:line="240" w:lineRule="auto"/>
            </w:pPr>
            <w:r w:rsidRPr="00EF2E4D">
              <w:t>Kings Park</w:t>
            </w:r>
          </w:p>
        </w:tc>
        <w:tc>
          <w:tcPr>
            <w:tcW w:w="1276" w:type="dxa"/>
          </w:tcPr>
          <w:p w14:paraId="1E95E47F" w14:textId="73DE97DE" w:rsidR="00E670D3" w:rsidRDefault="008E518C" w:rsidP="008B4863">
            <w:pPr>
              <w:spacing w:after="0" w:line="240" w:lineRule="auto"/>
              <w:jc w:val="right"/>
            </w:pPr>
            <w:r w:rsidRPr="00EF2E4D">
              <w:t>5</w:t>
            </w:r>
            <w:r w:rsidR="000C0B90">
              <w:t>,</w:t>
            </w:r>
            <w:r w:rsidRPr="00EF2E4D">
              <w:t>697</w:t>
            </w:r>
          </w:p>
        </w:tc>
      </w:tr>
      <w:tr w:rsidR="00E670D3" w14:paraId="23E1B742" w14:textId="77777777" w:rsidTr="00563664">
        <w:tc>
          <w:tcPr>
            <w:tcW w:w="2376" w:type="dxa"/>
          </w:tcPr>
          <w:p w14:paraId="7CB15387" w14:textId="2162C7B2" w:rsidR="00E670D3" w:rsidRDefault="008E518C" w:rsidP="00E670D3">
            <w:pPr>
              <w:spacing w:after="0" w:line="240" w:lineRule="auto"/>
            </w:pPr>
            <w:r w:rsidRPr="00EF2E4D">
              <w:t>St Albans</w:t>
            </w:r>
          </w:p>
        </w:tc>
        <w:tc>
          <w:tcPr>
            <w:tcW w:w="1276" w:type="dxa"/>
          </w:tcPr>
          <w:p w14:paraId="39DE6551" w14:textId="3D751C8E" w:rsidR="00E670D3" w:rsidRDefault="008E518C" w:rsidP="008B4863">
            <w:pPr>
              <w:spacing w:after="0" w:line="240" w:lineRule="auto"/>
              <w:jc w:val="right"/>
            </w:pPr>
            <w:r w:rsidRPr="00EF2E4D">
              <w:t>24</w:t>
            </w:r>
            <w:r w:rsidR="000C0B90">
              <w:t>,</w:t>
            </w:r>
            <w:r w:rsidRPr="00EF2E4D">
              <w:t>113</w:t>
            </w:r>
          </w:p>
        </w:tc>
      </w:tr>
      <w:tr w:rsidR="00A51DFB" w14:paraId="224AA8C0" w14:textId="77777777" w:rsidTr="00563664">
        <w:tc>
          <w:tcPr>
            <w:tcW w:w="2376" w:type="dxa"/>
          </w:tcPr>
          <w:p w14:paraId="280DE737" w14:textId="6EFF1FE4" w:rsidR="00A51DFB" w:rsidRDefault="008E518C" w:rsidP="00E670D3">
            <w:pPr>
              <w:spacing w:after="0" w:line="240" w:lineRule="auto"/>
            </w:pPr>
            <w:r w:rsidRPr="00EF2E4D">
              <w:t>Sunshine</w:t>
            </w:r>
          </w:p>
        </w:tc>
        <w:tc>
          <w:tcPr>
            <w:tcW w:w="1276" w:type="dxa"/>
          </w:tcPr>
          <w:p w14:paraId="386C000C" w14:textId="50D545A2" w:rsidR="00A51DFB" w:rsidRDefault="008E518C" w:rsidP="008B4863">
            <w:pPr>
              <w:spacing w:after="0" w:line="240" w:lineRule="auto"/>
              <w:jc w:val="right"/>
            </w:pPr>
            <w:r w:rsidRPr="00EF2E4D">
              <w:t>6</w:t>
            </w:r>
            <w:r w:rsidR="000C0B90">
              <w:t>,</w:t>
            </w:r>
            <w:r w:rsidRPr="00EF2E4D">
              <w:t>443</w:t>
            </w:r>
          </w:p>
        </w:tc>
      </w:tr>
      <w:tr w:rsidR="005A7A95" w14:paraId="2E4D7646" w14:textId="77777777" w:rsidTr="00563664">
        <w:tc>
          <w:tcPr>
            <w:tcW w:w="2376" w:type="dxa"/>
          </w:tcPr>
          <w:p w14:paraId="6473B891" w14:textId="1BD0A5B9" w:rsidR="005A7A95" w:rsidRDefault="008E518C" w:rsidP="00E670D3">
            <w:pPr>
              <w:spacing w:after="0" w:line="240" w:lineRule="auto"/>
            </w:pPr>
            <w:r w:rsidRPr="00EF2E4D">
              <w:t>Sunshine North</w:t>
            </w:r>
          </w:p>
        </w:tc>
        <w:tc>
          <w:tcPr>
            <w:tcW w:w="1276" w:type="dxa"/>
          </w:tcPr>
          <w:p w14:paraId="467C6C24" w14:textId="20DD2DB9" w:rsidR="005A7A95" w:rsidRDefault="008E518C" w:rsidP="008B4863">
            <w:pPr>
              <w:spacing w:after="0" w:line="240" w:lineRule="auto"/>
              <w:jc w:val="right"/>
            </w:pPr>
            <w:r w:rsidRPr="00EF2E4D">
              <w:t>8</w:t>
            </w:r>
            <w:r w:rsidR="000C0B90">
              <w:t>,</w:t>
            </w:r>
            <w:r w:rsidRPr="00EF2E4D">
              <w:t>652</w:t>
            </w:r>
          </w:p>
        </w:tc>
      </w:tr>
      <w:tr w:rsidR="00A51DFB" w14:paraId="02D9D403" w14:textId="77777777" w:rsidTr="00563664">
        <w:tc>
          <w:tcPr>
            <w:tcW w:w="2376" w:type="dxa"/>
          </w:tcPr>
          <w:p w14:paraId="5BCBEBBB" w14:textId="754BF1C0" w:rsidR="00A51DFB" w:rsidRDefault="00B61D86" w:rsidP="00E670D3">
            <w:pPr>
              <w:spacing w:after="0" w:line="240" w:lineRule="auto"/>
            </w:pPr>
            <w:r w:rsidRPr="007D0844">
              <w:t>Sunshine West</w:t>
            </w:r>
          </w:p>
        </w:tc>
        <w:tc>
          <w:tcPr>
            <w:tcW w:w="1276" w:type="dxa"/>
          </w:tcPr>
          <w:p w14:paraId="391F5A59" w14:textId="602FCBD3" w:rsidR="00A51DFB" w:rsidRDefault="00B61D86" w:rsidP="008B4863">
            <w:pPr>
              <w:spacing w:after="0" w:line="240" w:lineRule="auto"/>
              <w:jc w:val="right"/>
            </w:pPr>
            <w:r w:rsidRPr="007D0844">
              <w:t>13</w:t>
            </w:r>
            <w:r w:rsidR="000C0B90">
              <w:t>,</w:t>
            </w:r>
            <w:r w:rsidRPr="007D0844">
              <w:t>301</w:t>
            </w:r>
          </w:p>
        </w:tc>
      </w:tr>
      <w:tr w:rsidR="00EA5B61" w14:paraId="534D531F" w14:textId="77777777" w:rsidTr="00563664">
        <w:tc>
          <w:tcPr>
            <w:tcW w:w="2376" w:type="dxa"/>
          </w:tcPr>
          <w:p w14:paraId="41E7D2C4" w14:textId="69E7A3F0" w:rsidR="00EA5B61" w:rsidRPr="007D0844" w:rsidRDefault="00EA5B61" w:rsidP="00EA5B61">
            <w:pPr>
              <w:spacing w:after="0" w:line="240" w:lineRule="auto"/>
            </w:pPr>
            <w:r w:rsidRPr="000E57C7">
              <w:t>Sydenham</w:t>
            </w:r>
          </w:p>
        </w:tc>
        <w:tc>
          <w:tcPr>
            <w:tcW w:w="1276" w:type="dxa"/>
          </w:tcPr>
          <w:p w14:paraId="758D9300" w14:textId="04D7E661" w:rsidR="00EA5B61" w:rsidRPr="007D0844" w:rsidRDefault="00EA5B61" w:rsidP="00EA5B61">
            <w:pPr>
              <w:spacing w:after="0" w:line="240" w:lineRule="auto"/>
              <w:jc w:val="right"/>
            </w:pPr>
            <w:r w:rsidRPr="000E57C7">
              <w:t>7</w:t>
            </w:r>
            <w:r>
              <w:t>,</w:t>
            </w:r>
            <w:r w:rsidRPr="000E57C7">
              <w:t>421</w:t>
            </w:r>
          </w:p>
        </w:tc>
      </w:tr>
      <w:tr w:rsidR="00EA5B61" w14:paraId="68BC5C75" w14:textId="77777777" w:rsidTr="00563664">
        <w:tc>
          <w:tcPr>
            <w:tcW w:w="2376" w:type="dxa"/>
          </w:tcPr>
          <w:p w14:paraId="698F532A" w14:textId="798FD36D" w:rsidR="00EA5B61" w:rsidRPr="007D0844" w:rsidRDefault="00EA5B61" w:rsidP="00EA5B61">
            <w:pPr>
              <w:spacing w:after="0" w:line="240" w:lineRule="auto"/>
            </w:pPr>
            <w:r w:rsidRPr="000E57C7">
              <w:t>Taylors Lakes</w:t>
            </w:r>
          </w:p>
        </w:tc>
        <w:tc>
          <w:tcPr>
            <w:tcW w:w="1276" w:type="dxa"/>
          </w:tcPr>
          <w:p w14:paraId="3A76558A" w14:textId="7F7CAD45" w:rsidR="00EA5B61" w:rsidRPr="007D0844" w:rsidRDefault="00EA5B61" w:rsidP="00EA5B61">
            <w:pPr>
              <w:spacing w:after="0" w:line="240" w:lineRule="auto"/>
              <w:jc w:val="right"/>
            </w:pPr>
            <w:r w:rsidRPr="000E57C7">
              <w:t>12</w:t>
            </w:r>
            <w:r>
              <w:t>,</w:t>
            </w:r>
            <w:r w:rsidRPr="000E57C7">
              <w:t>117</w:t>
            </w:r>
          </w:p>
        </w:tc>
      </w:tr>
      <w:tr w:rsidR="00EA5B61" w14:paraId="08685A27" w14:textId="77777777" w:rsidTr="00563664">
        <w:tc>
          <w:tcPr>
            <w:tcW w:w="2376" w:type="dxa"/>
          </w:tcPr>
          <w:p w14:paraId="1E507E9B" w14:textId="7C927D7D" w:rsidR="00EA5B61" w:rsidRPr="007D0844" w:rsidRDefault="00EA5B61" w:rsidP="00EA5B61">
            <w:pPr>
              <w:spacing w:after="0" w:line="240" w:lineRule="auto"/>
            </w:pPr>
            <w:r w:rsidRPr="000E57C7">
              <w:t>Tullamarine</w:t>
            </w:r>
          </w:p>
        </w:tc>
        <w:tc>
          <w:tcPr>
            <w:tcW w:w="1276" w:type="dxa"/>
          </w:tcPr>
          <w:p w14:paraId="1115B25D" w14:textId="65CD7AB3" w:rsidR="00EA5B61" w:rsidRPr="007D0844" w:rsidRDefault="00EA5B61" w:rsidP="00EA5B61">
            <w:pPr>
              <w:spacing w:after="0" w:line="240" w:lineRule="auto"/>
              <w:jc w:val="right"/>
            </w:pPr>
            <w:r w:rsidRPr="000E57C7">
              <w:t>157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2DE93E8E" w14:textId="77777777" w:rsidR="00A51DFB" w:rsidRPr="003214D1" w:rsidRDefault="00A51DFB" w:rsidP="004D1C77"/>
    <w:sectPr w:rsidR="00A51DFB" w:rsidRPr="003214D1" w:rsidSect="00730CF3">
      <w:type w:val="continuous"/>
      <w:pgSz w:w="11906" w:h="16838" w:code="9"/>
      <w:pgMar w:top="737" w:right="1134" w:bottom="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5237" w14:textId="77777777" w:rsidR="004E7481" w:rsidRDefault="004E7481" w:rsidP="00665F91">
      <w:r>
        <w:separator/>
      </w:r>
    </w:p>
  </w:endnote>
  <w:endnote w:type="continuationSeparator" w:id="0">
    <w:p w14:paraId="74704C64" w14:textId="77777777" w:rsidR="004E7481" w:rsidRDefault="004E7481" w:rsidP="00665F91">
      <w:r>
        <w:continuationSeparator/>
      </w:r>
    </w:p>
  </w:endnote>
  <w:endnote w:type="continuationNotice" w:id="1">
    <w:p w14:paraId="211B8C43" w14:textId="77777777" w:rsidR="004E7481" w:rsidRDefault="004E74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NUMPAGES  \* Arabic  \* MERGEFORMAT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EA5B61">
    <w:pPr>
      <w:pStyle w:val="Footer"/>
      <w:pBdr>
        <w:top w:val="single" w:sz="4" w:space="1" w:color="auto"/>
      </w:pBdr>
      <w:tabs>
        <w:tab w:val="clear" w:pos="9026"/>
        <w:tab w:val="right" w:pos="14884"/>
      </w:tabs>
      <w:ind w:left="426"/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NUMPAGES  \* Arabic  \* MERGEFORMAT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AAA8" w14:textId="77777777" w:rsidR="004E7481" w:rsidRDefault="004E7481" w:rsidP="00665F91">
      <w:r>
        <w:separator/>
      </w:r>
    </w:p>
  </w:footnote>
  <w:footnote w:type="continuationSeparator" w:id="0">
    <w:p w14:paraId="6514DD70" w14:textId="77777777" w:rsidR="004E7481" w:rsidRDefault="004E7481" w:rsidP="00665F91">
      <w:r>
        <w:continuationSeparator/>
      </w:r>
    </w:p>
  </w:footnote>
  <w:footnote w:type="continuationNotice" w:id="1">
    <w:p w14:paraId="0812EB50" w14:textId="77777777" w:rsidR="004E7481" w:rsidRDefault="004E74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0212">
    <w:abstractNumId w:val="5"/>
  </w:num>
  <w:num w:numId="2" w16cid:durableId="861481936">
    <w:abstractNumId w:val="1"/>
  </w:num>
  <w:num w:numId="3" w16cid:durableId="1006596389">
    <w:abstractNumId w:val="7"/>
  </w:num>
  <w:num w:numId="4" w16cid:durableId="614944577">
    <w:abstractNumId w:val="6"/>
  </w:num>
  <w:num w:numId="5" w16cid:durableId="1198353288">
    <w:abstractNumId w:val="0"/>
  </w:num>
  <w:num w:numId="6" w16cid:durableId="1402092625">
    <w:abstractNumId w:val="3"/>
  </w:num>
  <w:num w:numId="7" w16cid:durableId="2103600910">
    <w:abstractNumId w:val="8"/>
  </w:num>
  <w:num w:numId="8" w16cid:durableId="1123041988">
    <w:abstractNumId w:val="2"/>
  </w:num>
  <w:num w:numId="9" w16cid:durableId="410002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841"/>
    <w:rsid w:val="00004D0A"/>
    <w:rsid w:val="00007254"/>
    <w:rsid w:val="000076F3"/>
    <w:rsid w:val="00007F79"/>
    <w:rsid w:val="00010993"/>
    <w:rsid w:val="00011FA0"/>
    <w:rsid w:val="00013529"/>
    <w:rsid w:val="00013B5A"/>
    <w:rsid w:val="00025831"/>
    <w:rsid w:val="000273AA"/>
    <w:rsid w:val="000378E4"/>
    <w:rsid w:val="00037C09"/>
    <w:rsid w:val="00042E87"/>
    <w:rsid w:val="000433C2"/>
    <w:rsid w:val="00043421"/>
    <w:rsid w:val="0004744F"/>
    <w:rsid w:val="00052A15"/>
    <w:rsid w:val="0005526F"/>
    <w:rsid w:val="00055CDF"/>
    <w:rsid w:val="00063928"/>
    <w:rsid w:val="00065239"/>
    <w:rsid w:val="00073FEB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B2E34"/>
    <w:rsid w:val="000B56A8"/>
    <w:rsid w:val="000B5D80"/>
    <w:rsid w:val="000B6930"/>
    <w:rsid w:val="000B7348"/>
    <w:rsid w:val="000C0B90"/>
    <w:rsid w:val="000D1C44"/>
    <w:rsid w:val="000E0A4B"/>
    <w:rsid w:val="000E583D"/>
    <w:rsid w:val="000E7203"/>
    <w:rsid w:val="000E757E"/>
    <w:rsid w:val="000F76B6"/>
    <w:rsid w:val="000F76C5"/>
    <w:rsid w:val="00111046"/>
    <w:rsid w:val="001172D1"/>
    <w:rsid w:val="001211CB"/>
    <w:rsid w:val="00121C83"/>
    <w:rsid w:val="00122E13"/>
    <w:rsid w:val="00124EF0"/>
    <w:rsid w:val="00132435"/>
    <w:rsid w:val="00132DC6"/>
    <w:rsid w:val="0013367A"/>
    <w:rsid w:val="00133D0B"/>
    <w:rsid w:val="00136884"/>
    <w:rsid w:val="00140337"/>
    <w:rsid w:val="00140D06"/>
    <w:rsid w:val="001424D4"/>
    <w:rsid w:val="00143EDC"/>
    <w:rsid w:val="00147658"/>
    <w:rsid w:val="001557DA"/>
    <w:rsid w:val="00157E83"/>
    <w:rsid w:val="00160FB4"/>
    <w:rsid w:val="0016380D"/>
    <w:rsid w:val="00173C8A"/>
    <w:rsid w:val="00173DAA"/>
    <w:rsid w:val="001773CC"/>
    <w:rsid w:val="0017756C"/>
    <w:rsid w:val="001808F0"/>
    <w:rsid w:val="0018543F"/>
    <w:rsid w:val="00186597"/>
    <w:rsid w:val="00191176"/>
    <w:rsid w:val="00191BE3"/>
    <w:rsid w:val="001957B1"/>
    <w:rsid w:val="00195AB1"/>
    <w:rsid w:val="00195FA2"/>
    <w:rsid w:val="001972D2"/>
    <w:rsid w:val="001A00BE"/>
    <w:rsid w:val="001A1B9E"/>
    <w:rsid w:val="001A500D"/>
    <w:rsid w:val="001A6F98"/>
    <w:rsid w:val="001B0071"/>
    <w:rsid w:val="001B14C0"/>
    <w:rsid w:val="001B6733"/>
    <w:rsid w:val="001C0B6A"/>
    <w:rsid w:val="001C2597"/>
    <w:rsid w:val="001C2812"/>
    <w:rsid w:val="001C7906"/>
    <w:rsid w:val="001D1BC8"/>
    <w:rsid w:val="001D6FBC"/>
    <w:rsid w:val="001E0052"/>
    <w:rsid w:val="001E0C71"/>
    <w:rsid w:val="001E6B21"/>
    <w:rsid w:val="001F2312"/>
    <w:rsid w:val="001F2777"/>
    <w:rsid w:val="001F32B9"/>
    <w:rsid w:val="001F7026"/>
    <w:rsid w:val="002012D1"/>
    <w:rsid w:val="00202E3A"/>
    <w:rsid w:val="00206954"/>
    <w:rsid w:val="002109AD"/>
    <w:rsid w:val="00212074"/>
    <w:rsid w:val="002121EB"/>
    <w:rsid w:val="00213166"/>
    <w:rsid w:val="00214AE7"/>
    <w:rsid w:val="00215B1D"/>
    <w:rsid w:val="00221164"/>
    <w:rsid w:val="00227530"/>
    <w:rsid w:val="00231E93"/>
    <w:rsid w:val="002476C8"/>
    <w:rsid w:val="002507C5"/>
    <w:rsid w:val="0025212F"/>
    <w:rsid w:val="002528BB"/>
    <w:rsid w:val="002570A6"/>
    <w:rsid w:val="0026053F"/>
    <w:rsid w:val="0026150E"/>
    <w:rsid w:val="00262368"/>
    <w:rsid w:val="00264D90"/>
    <w:rsid w:val="00274D03"/>
    <w:rsid w:val="0027708F"/>
    <w:rsid w:val="002779D5"/>
    <w:rsid w:val="00280596"/>
    <w:rsid w:val="002941A0"/>
    <w:rsid w:val="002A11CD"/>
    <w:rsid w:val="002A1CED"/>
    <w:rsid w:val="002A763F"/>
    <w:rsid w:val="002B2829"/>
    <w:rsid w:val="002B2DDA"/>
    <w:rsid w:val="002C0D24"/>
    <w:rsid w:val="002C155C"/>
    <w:rsid w:val="002C3FB1"/>
    <w:rsid w:val="002C6760"/>
    <w:rsid w:val="002D0CB1"/>
    <w:rsid w:val="002D3098"/>
    <w:rsid w:val="002D5409"/>
    <w:rsid w:val="002D55D8"/>
    <w:rsid w:val="002D6EE1"/>
    <w:rsid w:val="002E2229"/>
    <w:rsid w:val="002E3548"/>
    <w:rsid w:val="002E6908"/>
    <w:rsid w:val="002F2F09"/>
    <w:rsid w:val="002F4763"/>
    <w:rsid w:val="002F6FA8"/>
    <w:rsid w:val="003011AE"/>
    <w:rsid w:val="00303185"/>
    <w:rsid w:val="003033FC"/>
    <w:rsid w:val="00303E86"/>
    <w:rsid w:val="00305E3B"/>
    <w:rsid w:val="00306648"/>
    <w:rsid w:val="0031024F"/>
    <w:rsid w:val="00312E4E"/>
    <w:rsid w:val="00315C79"/>
    <w:rsid w:val="00324AA1"/>
    <w:rsid w:val="0032506E"/>
    <w:rsid w:val="00330F62"/>
    <w:rsid w:val="00337843"/>
    <w:rsid w:val="00337881"/>
    <w:rsid w:val="0034417D"/>
    <w:rsid w:val="00344E9F"/>
    <w:rsid w:val="003479FC"/>
    <w:rsid w:val="00357BE0"/>
    <w:rsid w:val="00361394"/>
    <w:rsid w:val="003629AD"/>
    <w:rsid w:val="00370349"/>
    <w:rsid w:val="00373075"/>
    <w:rsid w:val="003730AE"/>
    <w:rsid w:val="00382BBF"/>
    <w:rsid w:val="003859CB"/>
    <w:rsid w:val="00385E80"/>
    <w:rsid w:val="003903F7"/>
    <w:rsid w:val="00392C32"/>
    <w:rsid w:val="003951A0"/>
    <w:rsid w:val="003A046E"/>
    <w:rsid w:val="003A14C0"/>
    <w:rsid w:val="003A774E"/>
    <w:rsid w:val="003B39C6"/>
    <w:rsid w:val="003C13AC"/>
    <w:rsid w:val="003C4B77"/>
    <w:rsid w:val="003D053D"/>
    <w:rsid w:val="003D10A3"/>
    <w:rsid w:val="003D2B1C"/>
    <w:rsid w:val="003D2EEF"/>
    <w:rsid w:val="003D2FD4"/>
    <w:rsid w:val="003D489C"/>
    <w:rsid w:val="003D6EA6"/>
    <w:rsid w:val="003E054A"/>
    <w:rsid w:val="003F1930"/>
    <w:rsid w:val="003F1E90"/>
    <w:rsid w:val="003F6B0F"/>
    <w:rsid w:val="004051A1"/>
    <w:rsid w:val="00405C5B"/>
    <w:rsid w:val="00405D67"/>
    <w:rsid w:val="00407988"/>
    <w:rsid w:val="00410B7F"/>
    <w:rsid w:val="00412438"/>
    <w:rsid w:val="00414319"/>
    <w:rsid w:val="00414993"/>
    <w:rsid w:val="00414CC7"/>
    <w:rsid w:val="00417353"/>
    <w:rsid w:val="00423215"/>
    <w:rsid w:val="00423446"/>
    <w:rsid w:val="00430167"/>
    <w:rsid w:val="00430B35"/>
    <w:rsid w:val="00431CB7"/>
    <w:rsid w:val="0043629D"/>
    <w:rsid w:val="004416AD"/>
    <w:rsid w:val="00442535"/>
    <w:rsid w:val="00445909"/>
    <w:rsid w:val="00451138"/>
    <w:rsid w:val="0045156E"/>
    <w:rsid w:val="00455865"/>
    <w:rsid w:val="00457E46"/>
    <w:rsid w:val="00463A44"/>
    <w:rsid w:val="00464EB3"/>
    <w:rsid w:val="004679DA"/>
    <w:rsid w:val="0047242A"/>
    <w:rsid w:val="004731E0"/>
    <w:rsid w:val="00484EC7"/>
    <w:rsid w:val="004855CE"/>
    <w:rsid w:val="00491960"/>
    <w:rsid w:val="004939F9"/>
    <w:rsid w:val="004A0EEE"/>
    <w:rsid w:val="004A3D6F"/>
    <w:rsid w:val="004A7F31"/>
    <w:rsid w:val="004B030E"/>
    <w:rsid w:val="004B0370"/>
    <w:rsid w:val="004B12CB"/>
    <w:rsid w:val="004B20C0"/>
    <w:rsid w:val="004B309B"/>
    <w:rsid w:val="004B36C4"/>
    <w:rsid w:val="004B5883"/>
    <w:rsid w:val="004B5905"/>
    <w:rsid w:val="004B7D1A"/>
    <w:rsid w:val="004C007E"/>
    <w:rsid w:val="004C6A7B"/>
    <w:rsid w:val="004C6E04"/>
    <w:rsid w:val="004D1C77"/>
    <w:rsid w:val="004D2588"/>
    <w:rsid w:val="004D5511"/>
    <w:rsid w:val="004D621B"/>
    <w:rsid w:val="004E3072"/>
    <w:rsid w:val="004E3ECD"/>
    <w:rsid w:val="004E5E6C"/>
    <w:rsid w:val="004E7481"/>
    <w:rsid w:val="004F0EAE"/>
    <w:rsid w:val="005036FB"/>
    <w:rsid w:val="00505AB8"/>
    <w:rsid w:val="00506059"/>
    <w:rsid w:val="00511031"/>
    <w:rsid w:val="005118F9"/>
    <w:rsid w:val="00514643"/>
    <w:rsid w:val="0051531D"/>
    <w:rsid w:val="0051594E"/>
    <w:rsid w:val="0051766D"/>
    <w:rsid w:val="005228A3"/>
    <w:rsid w:val="005270AD"/>
    <w:rsid w:val="00530049"/>
    <w:rsid w:val="00530ECB"/>
    <w:rsid w:val="00533759"/>
    <w:rsid w:val="00534F15"/>
    <w:rsid w:val="00536B37"/>
    <w:rsid w:val="00536B67"/>
    <w:rsid w:val="005371B2"/>
    <w:rsid w:val="00540F8E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0E1D"/>
    <w:rsid w:val="00563664"/>
    <w:rsid w:val="00563B29"/>
    <w:rsid w:val="00565174"/>
    <w:rsid w:val="00566206"/>
    <w:rsid w:val="00566D50"/>
    <w:rsid w:val="00567FDF"/>
    <w:rsid w:val="0057191F"/>
    <w:rsid w:val="0057298A"/>
    <w:rsid w:val="00573BF1"/>
    <w:rsid w:val="00574100"/>
    <w:rsid w:val="0058340C"/>
    <w:rsid w:val="0058388E"/>
    <w:rsid w:val="005841E2"/>
    <w:rsid w:val="00587028"/>
    <w:rsid w:val="0059213D"/>
    <w:rsid w:val="005972C6"/>
    <w:rsid w:val="005A23C9"/>
    <w:rsid w:val="005A3FC0"/>
    <w:rsid w:val="005A5776"/>
    <w:rsid w:val="005A5824"/>
    <w:rsid w:val="005A7A95"/>
    <w:rsid w:val="005B02D2"/>
    <w:rsid w:val="005B090D"/>
    <w:rsid w:val="005B4AD6"/>
    <w:rsid w:val="005C17A7"/>
    <w:rsid w:val="005C4D98"/>
    <w:rsid w:val="005D2B3E"/>
    <w:rsid w:val="005D6C63"/>
    <w:rsid w:val="005D76E4"/>
    <w:rsid w:val="005D7D2F"/>
    <w:rsid w:val="005E26DC"/>
    <w:rsid w:val="005E451C"/>
    <w:rsid w:val="005E529B"/>
    <w:rsid w:val="005E5DB0"/>
    <w:rsid w:val="005E6792"/>
    <w:rsid w:val="005F003B"/>
    <w:rsid w:val="005F0ABA"/>
    <w:rsid w:val="005F1609"/>
    <w:rsid w:val="005F2AFB"/>
    <w:rsid w:val="006022A3"/>
    <w:rsid w:val="00603548"/>
    <w:rsid w:val="00603BF2"/>
    <w:rsid w:val="00605693"/>
    <w:rsid w:val="00607BA3"/>
    <w:rsid w:val="00610697"/>
    <w:rsid w:val="006129A4"/>
    <w:rsid w:val="00621772"/>
    <w:rsid w:val="00621816"/>
    <w:rsid w:val="00621DEA"/>
    <w:rsid w:val="0062624E"/>
    <w:rsid w:val="006323DA"/>
    <w:rsid w:val="00632669"/>
    <w:rsid w:val="00633318"/>
    <w:rsid w:val="00633739"/>
    <w:rsid w:val="006401E4"/>
    <w:rsid w:val="0064634A"/>
    <w:rsid w:val="00650219"/>
    <w:rsid w:val="00654026"/>
    <w:rsid w:val="00654EF5"/>
    <w:rsid w:val="006602DC"/>
    <w:rsid w:val="00660E21"/>
    <w:rsid w:val="00662011"/>
    <w:rsid w:val="0066304E"/>
    <w:rsid w:val="00664AEB"/>
    <w:rsid w:val="0066586A"/>
    <w:rsid w:val="006659C6"/>
    <w:rsid w:val="00665ED9"/>
    <w:rsid w:val="00665F91"/>
    <w:rsid w:val="006675CB"/>
    <w:rsid w:val="00676C68"/>
    <w:rsid w:val="0068056D"/>
    <w:rsid w:val="00683AB2"/>
    <w:rsid w:val="0069274B"/>
    <w:rsid w:val="0069327C"/>
    <w:rsid w:val="006A294A"/>
    <w:rsid w:val="006A3925"/>
    <w:rsid w:val="006A4C08"/>
    <w:rsid w:val="006A5341"/>
    <w:rsid w:val="006B2225"/>
    <w:rsid w:val="006B5323"/>
    <w:rsid w:val="006B5379"/>
    <w:rsid w:val="006B6CFB"/>
    <w:rsid w:val="006C0081"/>
    <w:rsid w:val="006C16DF"/>
    <w:rsid w:val="006C197A"/>
    <w:rsid w:val="006D342E"/>
    <w:rsid w:val="006D5570"/>
    <w:rsid w:val="006D729D"/>
    <w:rsid w:val="006D78DC"/>
    <w:rsid w:val="006E00C1"/>
    <w:rsid w:val="006E05C4"/>
    <w:rsid w:val="006E0B63"/>
    <w:rsid w:val="006E3BC8"/>
    <w:rsid w:val="006E48EF"/>
    <w:rsid w:val="006F564E"/>
    <w:rsid w:val="00700947"/>
    <w:rsid w:val="00702ECF"/>
    <w:rsid w:val="007038E7"/>
    <w:rsid w:val="00704364"/>
    <w:rsid w:val="00706BAD"/>
    <w:rsid w:val="00707861"/>
    <w:rsid w:val="00707F06"/>
    <w:rsid w:val="00714010"/>
    <w:rsid w:val="00715CA6"/>
    <w:rsid w:val="00717A44"/>
    <w:rsid w:val="00721974"/>
    <w:rsid w:val="0072203E"/>
    <w:rsid w:val="00730A8C"/>
    <w:rsid w:val="00730CF3"/>
    <w:rsid w:val="00733E34"/>
    <w:rsid w:val="0073556F"/>
    <w:rsid w:val="00736AAE"/>
    <w:rsid w:val="00752275"/>
    <w:rsid w:val="00755912"/>
    <w:rsid w:val="00757292"/>
    <w:rsid w:val="007574A2"/>
    <w:rsid w:val="00762434"/>
    <w:rsid w:val="00765994"/>
    <w:rsid w:val="00765ED5"/>
    <w:rsid w:val="00765EEA"/>
    <w:rsid w:val="00766EC1"/>
    <w:rsid w:val="00773D07"/>
    <w:rsid w:val="007742D3"/>
    <w:rsid w:val="0077730A"/>
    <w:rsid w:val="00784854"/>
    <w:rsid w:val="007876A3"/>
    <w:rsid w:val="00787A2B"/>
    <w:rsid w:val="007913FB"/>
    <w:rsid w:val="007A194C"/>
    <w:rsid w:val="007A1AB8"/>
    <w:rsid w:val="007A2315"/>
    <w:rsid w:val="007A40D7"/>
    <w:rsid w:val="007A7027"/>
    <w:rsid w:val="007B5829"/>
    <w:rsid w:val="007B71EF"/>
    <w:rsid w:val="007C1C4B"/>
    <w:rsid w:val="007C6584"/>
    <w:rsid w:val="007C7BB3"/>
    <w:rsid w:val="007D07BF"/>
    <w:rsid w:val="007D16DE"/>
    <w:rsid w:val="007D2859"/>
    <w:rsid w:val="007D4F8F"/>
    <w:rsid w:val="007D6A0B"/>
    <w:rsid w:val="007E0D4B"/>
    <w:rsid w:val="007E3730"/>
    <w:rsid w:val="007E7F95"/>
    <w:rsid w:val="007F05B6"/>
    <w:rsid w:val="007F59DB"/>
    <w:rsid w:val="0080321C"/>
    <w:rsid w:val="008070FB"/>
    <w:rsid w:val="00807F09"/>
    <w:rsid w:val="00810548"/>
    <w:rsid w:val="00817956"/>
    <w:rsid w:val="00820A1F"/>
    <w:rsid w:val="00825118"/>
    <w:rsid w:val="00826940"/>
    <w:rsid w:val="008276F7"/>
    <w:rsid w:val="008279E5"/>
    <w:rsid w:val="008303E2"/>
    <w:rsid w:val="00830ACF"/>
    <w:rsid w:val="0083166F"/>
    <w:rsid w:val="0083584C"/>
    <w:rsid w:val="00835898"/>
    <w:rsid w:val="00837406"/>
    <w:rsid w:val="00844B48"/>
    <w:rsid w:val="00846705"/>
    <w:rsid w:val="00852B96"/>
    <w:rsid w:val="0085407E"/>
    <w:rsid w:val="00854304"/>
    <w:rsid w:val="00855336"/>
    <w:rsid w:val="008619B2"/>
    <w:rsid w:val="00862776"/>
    <w:rsid w:val="00863BA9"/>
    <w:rsid w:val="00864AFE"/>
    <w:rsid w:val="008665C5"/>
    <w:rsid w:val="0087049F"/>
    <w:rsid w:val="0087078D"/>
    <w:rsid w:val="00871905"/>
    <w:rsid w:val="0087655E"/>
    <w:rsid w:val="00876CFA"/>
    <w:rsid w:val="00877CA0"/>
    <w:rsid w:val="0088187E"/>
    <w:rsid w:val="008818FD"/>
    <w:rsid w:val="00881EBC"/>
    <w:rsid w:val="00883F89"/>
    <w:rsid w:val="0088456D"/>
    <w:rsid w:val="00890813"/>
    <w:rsid w:val="00891E09"/>
    <w:rsid w:val="008A186F"/>
    <w:rsid w:val="008A1CCA"/>
    <w:rsid w:val="008A2182"/>
    <w:rsid w:val="008B2746"/>
    <w:rsid w:val="008B4863"/>
    <w:rsid w:val="008B7249"/>
    <w:rsid w:val="008C1A50"/>
    <w:rsid w:val="008C33C0"/>
    <w:rsid w:val="008C733A"/>
    <w:rsid w:val="008D0E7A"/>
    <w:rsid w:val="008D2B38"/>
    <w:rsid w:val="008D2D52"/>
    <w:rsid w:val="008D3C12"/>
    <w:rsid w:val="008D5A81"/>
    <w:rsid w:val="008D6521"/>
    <w:rsid w:val="008E1266"/>
    <w:rsid w:val="008E518C"/>
    <w:rsid w:val="008F08CD"/>
    <w:rsid w:val="008F2E0A"/>
    <w:rsid w:val="008F4CB4"/>
    <w:rsid w:val="008F573D"/>
    <w:rsid w:val="008F5B52"/>
    <w:rsid w:val="008F5E7D"/>
    <w:rsid w:val="008F68B0"/>
    <w:rsid w:val="00901954"/>
    <w:rsid w:val="009035DB"/>
    <w:rsid w:val="009048A8"/>
    <w:rsid w:val="0091065F"/>
    <w:rsid w:val="00911DF5"/>
    <w:rsid w:val="00912A86"/>
    <w:rsid w:val="009236F7"/>
    <w:rsid w:val="00931605"/>
    <w:rsid w:val="00932378"/>
    <w:rsid w:val="009350BC"/>
    <w:rsid w:val="009440A9"/>
    <w:rsid w:val="0094664A"/>
    <w:rsid w:val="0094715B"/>
    <w:rsid w:val="0095180D"/>
    <w:rsid w:val="009569C9"/>
    <w:rsid w:val="00962E0A"/>
    <w:rsid w:val="0097051C"/>
    <w:rsid w:val="00973BFD"/>
    <w:rsid w:val="00975796"/>
    <w:rsid w:val="00975DA9"/>
    <w:rsid w:val="009760B4"/>
    <w:rsid w:val="00976546"/>
    <w:rsid w:val="00980B7A"/>
    <w:rsid w:val="009811B7"/>
    <w:rsid w:val="009829DC"/>
    <w:rsid w:val="00982AA4"/>
    <w:rsid w:val="0098332F"/>
    <w:rsid w:val="00984EC6"/>
    <w:rsid w:val="00987132"/>
    <w:rsid w:val="009953AB"/>
    <w:rsid w:val="009953BE"/>
    <w:rsid w:val="009974D8"/>
    <w:rsid w:val="00997CBA"/>
    <w:rsid w:val="009A04D7"/>
    <w:rsid w:val="009B15EF"/>
    <w:rsid w:val="009B2AFC"/>
    <w:rsid w:val="009B3B4F"/>
    <w:rsid w:val="009B51A5"/>
    <w:rsid w:val="009C01B9"/>
    <w:rsid w:val="009C7919"/>
    <w:rsid w:val="009D03C2"/>
    <w:rsid w:val="009D0FCC"/>
    <w:rsid w:val="009D5AC8"/>
    <w:rsid w:val="009D7CAE"/>
    <w:rsid w:val="009E56E2"/>
    <w:rsid w:val="009F13B3"/>
    <w:rsid w:val="009F1E7C"/>
    <w:rsid w:val="009F6028"/>
    <w:rsid w:val="00A02430"/>
    <w:rsid w:val="00A0526D"/>
    <w:rsid w:val="00A0531D"/>
    <w:rsid w:val="00A10B5B"/>
    <w:rsid w:val="00A14378"/>
    <w:rsid w:val="00A16431"/>
    <w:rsid w:val="00A17DC4"/>
    <w:rsid w:val="00A20B7C"/>
    <w:rsid w:val="00A23809"/>
    <w:rsid w:val="00A23C7B"/>
    <w:rsid w:val="00A24188"/>
    <w:rsid w:val="00A3387B"/>
    <w:rsid w:val="00A3468E"/>
    <w:rsid w:val="00A363F2"/>
    <w:rsid w:val="00A4094A"/>
    <w:rsid w:val="00A42A02"/>
    <w:rsid w:val="00A42BDB"/>
    <w:rsid w:val="00A434CF"/>
    <w:rsid w:val="00A45B7F"/>
    <w:rsid w:val="00A465DE"/>
    <w:rsid w:val="00A51DFB"/>
    <w:rsid w:val="00A53096"/>
    <w:rsid w:val="00A55CE7"/>
    <w:rsid w:val="00A55D61"/>
    <w:rsid w:val="00A57CF6"/>
    <w:rsid w:val="00A63B49"/>
    <w:rsid w:val="00A6613F"/>
    <w:rsid w:val="00A66B53"/>
    <w:rsid w:val="00A6737A"/>
    <w:rsid w:val="00A71EFB"/>
    <w:rsid w:val="00A7235E"/>
    <w:rsid w:val="00A7415D"/>
    <w:rsid w:val="00A75EAA"/>
    <w:rsid w:val="00A81FB8"/>
    <w:rsid w:val="00A8462C"/>
    <w:rsid w:val="00A86BE4"/>
    <w:rsid w:val="00A91DA7"/>
    <w:rsid w:val="00A959D7"/>
    <w:rsid w:val="00AA1A97"/>
    <w:rsid w:val="00AA21FF"/>
    <w:rsid w:val="00AA2E31"/>
    <w:rsid w:val="00AB2098"/>
    <w:rsid w:val="00AB2921"/>
    <w:rsid w:val="00AB3120"/>
    <w:rsid w:val="00AB4DF2"/>
    <w:rsid w:val="00AB5144"/>
    <w:rsid w:val="00AB55F2"/>
    <w:rsid w:val="00AB58D8"/>
    <w:rsid w:val="00AB64E9"/>
    <w:rsid w:val="00AB6661"/>
    <w:rsid w:val="00AB67E2"/>
    <w:rsid w:val="00AB6A7F"/>
    <w:rsid w:val="00AB7545"/>
    <w:rsid w:val="00AC04E5"/>
    <w:rsid w:val="00AC1D7D"/>
    <w:rsid w:val="00AD0F7C"/>
    <w:rsid w:val="00AD3606"/>
    <w:rsid w:val="00AD451C"/>
    <w:rsid w:val="00AD7E22"/>
    <w:rsid w:val="00AE1650"/>
    <w:rsid w:val="00AE2F55"/>
    <w:rsid w:val="00AE7329"/>
    <w:rsid w:val="00AF26A3"/>
    <w:rsid w:val="00AF3B63"/>
    <w:rsid w:val="00B06AF9"/>
    <w:rsid w:val="00B07597"/>
    <w:rsid w:val="00B110D8"/>
    <w:rsid w:val="00B11FB4"/>
    <w:rsid w:val="00B146FD"/>
    <w:rsid w:val="00B148F4"/>
    <w:rsid w:val="00B15EA5"/>
    <w:rsid w:val="00B16E24"/>
    <w:rsid w:val="00B2121E"/>
    <w:rsid w:val="00B30613"/>
    <w:rsid w:val="00B316AF"/>
    <w:rsid w:val="00B33CA4"/>
    <w:rsid w:val="00B37E0F"/>
    <w:rsid w:val="00B417FD"/>
    <w:rsid w:val="00B420AC"/>
    <w:rsid w:val="00B43EA8"/>
    <w:rsid w:val="00B51CA8"/>
    <w:rsid w:val="00B52C46"/>
    <w:rsid w:val="00B5311F"/>
    <w:rsid w:val="00B53151"/>
    <w:rsid w:val="00B560B9"/>
    <w:rsid w:val="00B60AC4"/>
    <w:rsid w:val="00B615E2"/>
    <w:rsid w:val="00B61D86"/>
    <w:rsid w:val="00B7185F"/>
    <w:rsid w:val="00B74C22"/>
    <w:rsid w:val="00B766C2"/>
    <w:rsid w:val="00B813BE"/>
    <w:rsid w:val="00BA06A4"/>
    <w:rsid w:val="00BA20B7"/>
    <w:rsid w:val="00BA26BD"/>
    <w:rsid w:val="00BA5F78"/>
    <w:rsid w:val="00BB12E3"/>
    <w:rsid w:val="00BB3020"/>
    <w:rsid w:val="00BB6631"/>
    <w:rsid w:val="00BC065D"/>
    <w:rsid w:val="00BC1851"/>
    <w:rsid w:val="00BC4593"/>
    <w:rsid w:val="00BC4668"/>
    <w:rsid w:val="00BC6B37"/>
    <w:rsid w:val="00BD1881"/>
    <w:rsid w:val="00BE2082"/>
    <w:rsid w:val="00BE7DB7"/>
    <w:rsid w:val="00BF35AF"/>
    <w:rsid w:val="00BF41BB"/>
    <w:rsid w:val="00BF54F4"/>
    <w:rsid w:val="00BF5F0D"/>
    <w:rsid w:val="00C02CD4"/>
    <w:rsid w:val="00C036F9"/>
    <w:rsid w:val="00C042C8"/>
    <w:rsid w:val="00C04DAA"/>
    <w:rsid w:val="00C12354"/>
    <w:rsid w:val="00C17004"/>
    <w:rsid w:val="00C22C32"/>
    <w:rsid w:val="00C2300D"/>
    <w:rsid w:val="00C23703"/>
    <w:rsid w:val="00C251FD"/>
    <w:rsid w:val="00C318C2"/>
    <w:rsid w:val="00C33EEA"/>
    <w:rsid w:val="00C34A25"/>
    <w:rsid w:val="00C3537A"/>
    <w:rsid w:val="00C37375"/>
    <w:rsid w:val="00C4025A"/>
    <w:rsid w:val="00C42DB5"/>
    <w:rsid w:val="00C43921"/>
    <w:rsid w:val="00C43CFF"/>
    <w:rsid w:val="00C45CD1"/>
    <w:rsid w:val="00C462A8"/>
    <w:rsid w:val="00C46414"/>
    <w:rsid w:val="00C46BB2"/>
    <w:rsid w:val="00C47492"/>
    <w:rsid w:val="00C47927"/>
    <w:rsid w:val="00C50C3F"/>
    <w:rsid w:val="00C53A62"/>
    <w:rsid w:val="00C57A57"/>
    <w:rsid w:val="00C70EE1"/>
    <w:rsid w:val="00C71D47"/>
    <w:rsid w:val="00C725C1"/>
    <w:rsid w:val="00C7433B"/>
    <w:rsid w:val="00C76AB3"/>
    <w:rsid w:val="00C77233"/>
    <w:rsid w:val="00C77524"/>
    <w:rsid w:val="00C83F2C"/>
    <w:rsid w:val="00C84E7D"/>
    <w:rsid w:val="00C90495"/>
    <w:rsid w:val="00C925C1"/>
    <w:rsid w:val="00C93B58"/>
    <w:rsid w:val="00C9550E"/>
    <w:rsid w:val="00C95700"/>
    <w:rsid w:val="00C96CDC"/>
    <w:rsid w:val="00CA1A56"/>
    <w:rsid w:val="00CA2B4D"/>
    <w:rsid w:val="00CB3A40"/>
    <w:rsid w:val="00CB549B"/>
    <w:rsid w:val="00CC1EAC"/>
    <w:rsid w:val="00CC4479"/>
    <w:rsid w:val="00CC4500"/>
    <w:rsid w:val="00CD0480"/>
    <w:rsid w:val="00CD276C"/>
    <w:rsid w:val="00CD4B54"/>
    <w:rsid w:val="00CD66E2"/>
    <w:rsid w:val="00CE09C4"/>
    <w:rsid w:val="00CE2CAB"/>
    <w:rsid w:val="00CE2D60"/>
    <w:rsid w:val="00CE60F8"/>
    <w:rsid w:val="00CE6A48"/>
    <w:rsid w:val="00CE77A4"/>
    <w:rsid w:val="00D00F5F"/>
    <w:rsid w:val="00D03E25"/>
    <w:rsid w:val="00D06E5E"/>
    <w:rsid w:val="00D0733B"/>
    <w:rsid w:val="00D103AB"/>
    <w:rsid w:val="00D112B3"/>
    <w:rsid w:val="00D122B4"/>
    <w:rsid w:val="00D1241D"/>
    <w:rsid w:val="00D2080B"/>
    <w:rsid w:val="00D2138E"/>
    <w:rsid w:val="00D2243E"/>
    <w:rsid w:val="00D22DB0"/>
    <w:rsid w:val="00D2318D"/>
    <w:rsid w:val="00D24866"/>
    <w:rsid w:val="00D253E5"/>
    <w:rsid w:val="00D262C1"/>
    <w:rsid w:val="00D36154"/>
    <w:rsid w:val="00D4067B"/>
    <w:rsid w:val="00D43D52"/>
    <w:rsid w:val="00D4462E"/>
    <w:rsid w:val="00D50183"/>
    <w:rsid w:val="00D51B66"/>
    <w:rsid w:val="00D6176D"/>
    <w:rsid w:val="00D61B86"/>
    <w:rsid w:val="00D6650F"/>
    <w:rsid w:val="00D6675B"/>
    <w:rsid w:val="00D67094"/>
    <w:rsid w:val="00D67912"/>
    <w:rsid w:val="00D720B5"/>
    <w:rsid w:val="00D74792"/>
    <w:rsid w:val="00D82863"/>
    <w:rsid w:val="00D8732B"/>
    <w:rsid w:val="00D96125"/>
    <w:rsid w:val="00D96F7E"/>
    <w:rsid w:val="00DA5D69"/>
    <w:rsid w:val="00DB7705"/>
    <w:rsid w:val="00DC1A93"/>
    <w:rsid w:val="00DC2EE1"/>
    <w:rsid w:val="00DC4FC1"/>
    <w:rsid w:val="00DC6CA9"/>
    <w:rsid w:val="00DC7361"/>
    <w:rsid w:val="00DC7A22"/>
    <w:rsid w:val="00DC7B52"/>
    <w:rsid w:val="00DD1591"/>
    <w:rsid w:val="00DD54F6"/>
    <w:rsid w:val="00DD5E6F"/>
    <w:rsid w:val="00DD7C2E"/>
    <w:rsid w:val="00DE168B"/>
    <w:rsid w:val="00DE24E2"/>
    <w:rsid w:val="00DE2D26"/>
    <w:rsid w:val="00DE3B58"/>
    <w:rsid w:val="00DF2607"/>
    <w:rsid w:val="00DF534C"/>
    <w:rsid w:val="00DF7558"/>
    <w:rsid w:val="00E00273"/>
    <w:rsid w:val="00E01228"/>
    <w:rsid w:val="00E02C88"/>
    <w:rsid w:val="00E062FC"/>
    <w:rsid w:val="00E06D47"/>
    <w:rsid w:val="00E12A24"/>
    <w:rsid w:val="00E12B84"/>
    <w:rsid w:val="00E20ED4"/>
    <w:rsid w:val="00E21EE7"/>
    <w:rsid w:val="00E2217F"/>
    <w:rsid w:val="00E2267A"/>
    <w:rsid w:val="00E2340E"/>
    <w:rsid w:val="00E25ED3"/>
    <w:rsid w:val="00E261AE"/>
    <w:rsid w:val="00E3280D"/>
    <w:rsid w:val="00E3332A"/>
    <w:rsid w:val="00E36B4A"/>
    <w:rsid w:val="00E44766"/>
    <w:rsid w:val="00E466D0"/>
    <w:rsid w:val="00E46822"/>
    <w:rsid w:val="00E50943"/>
    <w:rsid w:val="00E53D17"/>
    <w:rsid w:val="00E54EFE"/>
    <w:rsid w:val="00E577A9"/>
    <w:rsid w:val="00E61EB6"/>
    <w:rsid w:val="00E626BC"/>
    <w:rsid w:val="00E63989"/>
    <w:rsid w:val="00E65CB9"/>
    <w:rsid w:val="00E66A6A"/>
    <w:rsid w:val="00E670D3"/>
    <w:rsid w:val="00E71495"/>
    <w:rsid w:val="00E718A1"/>
    <w:rsid w:val="00E732AF"/>
    <w:rsid w:val="00E75C92"/>
    <w:rsid w:val="00E75E49"/>
    <w:rsid w:val="00E76EAD"/>
    <w:rsid w:val="00E829F5"/>
    <w:rsid w:val="00E87D70"/>
    <w:rsid w:val="00E9073A"/>
    <w:rsid w:val="00EA4F28"/>
    <w:rsid w:val="00EA53CB"/>
    <w:rsid w:val="00EA5B61"/>
    <w:rsid w:val="00EA6887"/>
    <w:rsid w:val="00EA7846"/>
    <w:rsid w:val="00EA7CE5"/>
    <w:rsid w:val="00EB3240"/>
    <w:rsid w:val="00EB4012"/>
    <w:rsid w:val="00EB5923"/>
    <w:rsid w:val="00EB5D63"/>
    <w:rsid w:val="00EB600B"/>
    <w:rsid w:val="00EC20E3"/>
    <w:rsid w:val="00EC37D6"/>
    <w:rsid w:val="00EC4735"/>
    <w:rsid w:val="00EC6A35"/>
    <w:rsid w:val="00ED1D26"/>
    <w:rsid w:val="00ED49CF"/>
    <w:rsid w:val="00ED52C7"/>
    <w:rsid w:val="00ED7E3D"/>
    <w:rsid w:val="00EE0C38"/>
    <w:rsid w:val="00EE18F1"/>
    <w:rsid w:val="00EF1C4C"/>
    <w:rsid w:val="00EF2AAB"/>
    <w:rsid w:val="00EF41D5"/>
    <w:rsid w:val="00EF42AE"/>
    <w:rsid w:val="00EF4709"/>
    <w:rsid w:val="00F013FB"/>
    <w:rsid w:val="00F01B90"/>
    <w:rsid w:val="00F0493B"/>
    <w:rsid w:val="00F05FB4"/>
    <w:rsid w:val="00F1081E"/>
    <w:rsid w:val="00F2453A"/>
    <w:rsid w:val="00F2465A"/>
    <w:rsid w:val="00F30BF7"/>
    <w:rsid w:val="00F331DF"/>
    <w:rsid w:val="00F420D4"/>
    <w:rsid w:val="00F52D51"/>
    <w:rsid w:val="00F5590C"/>
    <w:rsid w:val="00F55DF4"/>
    <w:rsid w:val="00F56201"/>
    <w:rsid w:val="00F573F3"/>
    <w:rsid w:val="00F6159B"/>
    <w:rsid w:val="00F615E4"/>
    <w:rsid w:val="00F63004"/>
    <w:rsid w:val="00F64627"/>
    <w:rsid w:val="00F75FB7"/>
    <w:rsid w:val="00F77C77"/>
    <w:rsid w:val="00F84576"/>
    <w:rsid w:val="00F86882"/>
    <w:rsid w:val="00F87B7D"/>
    <w:rsid w:val="00F90CC8"/>
    <w:rsid w:val="00F913E0"/>
    <w:rsid w:val="00FA04FA"/>
    <w:rsid w:val="00FA62BB"/>
    <w:rsid w:val="00FA6935"/>
    <w:rsid w:val="00FA7998"/>
    <w:rsid w:val="00FB2223"/>
    <w:rsid w:val="00FB388D"/>
    <w:rsid w:val="00FB45A4"/>
    <w:rsid w:val="00FB695B"/>
    <w:rsid w:val="00FB7F32"/>
    <w:rsid w:val="00FC27DE"/>
    <w:rsid w:val="00FC334F"/>
    <w:rsid w:val="00FC73E9"/>
    <w:rsid w:val="00FC77DA"/>
    <w:rsid w:val="00FD4FC0"/>
    <w:rsid w:val="00FD6BFD"/>
    <w:rsid w:val="00FE0B29"/>
    <w:rsid w:val="00FE1C00"/>
    <w:rsid w:val="00FE3E3B"/>
    <w:rsid w:val="00FE5643"/>
    <w:rsid w:val="00FF1347"/>
    <w:rsid w:val="00FF2727"/>
    <w:rsid w:val="00FF3347"/>
    <w:rsid w:val="00FF3CA9"/>
    <w:rsid w:val="00FF4BBC"/>
    <w:rsid w:val="12DE3E43"/>
    <w:rsid w:val="3517D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03E86"/>
  </w:style>
  <w:style w:type="character" w:customStyle="1" w:styleId="eop">
    <w:name w:val="eop"/>
    <w:basedOn w:val="DefaultParagraphFont"/>
    <w:rsid w:val="00303E86"/>
  </w:style>
  <w:style w:type="paragraph" w:styleId="NormalWeb">
    <w:name w:val="Normal (Web)"/>
    <w:basedOn w:val="Normal"/>
    <w:uiPriority w:val="99"/>
    <w:semiHidden/>
    <w:unhideWhenUsed/>
    <w:rsid w:val="00C43CF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1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Brimbank.ERAPSubmissions@vec.vi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Links>
    <vt:vector size="36" baseType="variant">
      <vt:variant>
        <vt:i4>1966165</vt:i4>
      </vt:variant>
      <vt:variant>
        <vt:i4>15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12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mailto:Brimbank.ERAPSubmissions@vec.vic.gov.au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2023-10-10T00:59:00Z</dcterms:created>
  <dcterms:modified xsi:type="dcterms:W3CDTF">2023-10-10T00:59:00Z</dcterms:modified>
</cp:coreProperties>
</file>