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3827EF89" w:rsidR="00787A2B" w:rsidRPr="00624DB8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5D3F8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Greater Geelong City Council</w:t>
                            </w:r>
                            <w:r w:rsidR="00A45AC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must now have a single-councillor ward electoral structure. </w:t>
                            </w:r>
                          </w:p>
                          <w:p w14:paraId="7A1263E7" w14:textId="1DEAA604" w:rsidR="00533759" w:rsidRPr="00624DB8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78756E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. The panel will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</w:t>
                            </w:r>
                            <w:r w:rsidR="00A45AC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Greater Geelong City 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4eRAIAAH0EAAAOAAAAZHJzL2Uyb0RvYy54bWysVNtu1DAQfUfiHyy/01xottuo2araUoTE&#10;pWrhA7y2szE4HjP2brZ8PRMnLVvgCbEP1kzGczznHHsvLg+9ZXuNwYBreHGSc6adBGXctuFfPt+8&#10;WnIWonBKWHC64Q868MvVyxcXg691CR1YpZERiAv14BvexejrLAuy070IJ+C1o2IL2ItIKW4zhWIg&#10;9N5mZZ4vsgFQeQSpQ6Cv11ORrxJ+22oZP7Vt0JHZhtNsMa2Y1s24ZqsLUW9R+M7IeQzxD1P0wjg6&#10;9AnqWkTBdmj+gOqNRAjQxhMJfQZta6ROHIhNkf/G5r4TXicuJE7wTzKF/wcrP+5vkRnV8IozJ3qy&#10;6I5EE25rdc3uYOeUVmwN6MhjVo16DT7U1Hbvb3FkHPx7kN8Cc7DuqE1fIcLQaaFoymLcnz1rGJNA&#10;rWwzfABFx4ldhCTdocV+BCRR2CE59PDkkD5EJuljuVyW5YJGlVQ7K/JqUSUPM1E/tnsM8a2Gno1B&#10;w3GkMFJKZ4j9+xCTT2pmK9RXztrekut7YVmxWCzO0tSinjcT9iNm4gvWqBtjbUpwu1lbZNTa8Nd5&#10;uayu5uZwvM06NjT8vCqrNMWzWjiGyNPvbxCJR7qto7ZvnEpxFMZOMU1p3Sz2qO/kUzxsDrNlG1AP&#10;JDvC9AbozVLQAf7gbKD73/DwfSdQc2bfObLuvDg9HR9MSk6rs5ISPK5sjivCSYJqeORsCtdxemQ7&#10;j2bb0UlFYu7giuxuTXy8F9NU89x0xyl69oiO87Tr17/G6icAAAD//wMAUEsDBBQABgAIAAAAIQAG&#10;gV0o3gAAAAsBAAAPAAAAZHJzL2Rvd25yZXYueG1sTI/BToQwEIbvJr5DMybe3BaWBRcpG7OJJ0+u&#10;Hjx26QhE2kFaWHx7x5OeJpP58v/fVIfVDWLBKfTkNSQbBQJ9Q7b3rYa316e7exAhGm/NQB41fGOA&#10;Q319VZnS0sW/4HKKreAQH0qjoYtxLKUMTYfOhA2N6Pn2QZMzkdeplXYyFw53g0yVyqUzveeGzox4&#10;7LD5PM2OS7a0fGWzOj5ntH9fJE3Fti+0vr1ZHx9ARFzjHwy/+qwONTudafY2iEHDThU5oxrSlCcD&#10;+zzZgTgzmWRJDrKu5P8f6h8AAAD//wMAUEsBAi0AFAAGAAgAAAAhALaDOJL+AAAA4QEAABMAAAAA&#10;AAAAAAAAAAAAAAAAAFtDb250ZW50X1R5cGVzXS54bWxQSwECLQAUAAYACAAAACEAOP0h/9YAAACU&#10;AQAACwAAAAAAAAAAAAAAAAAvAQAAX3JlbHMvLnJlbHNQSwECLQAUAAYACAAAACEApEgOHkQCAAB9&#10;BAAADgAAAAAAAAAAAAAAAAAuAgAAZHJzL2Uyb0RvYy54bWxQSwECLQAUAAYACAAAACEABoFdKN4A&#10;AAALAQAADwAAAAAAAAAAAAAAAACeBAAAZHJzL2Rvd25yZXYueG1sUEsFBgAAAAAEAAQA8wAAAKkF&#10;AAAAAA=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3827EF89" w:rsidR="00787A2B" w:rsidRPr="00624DB8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5D3F85">
                        <w:rPr>
                          <w:bCs/>
                          <w:color w:val="FFFFFF" w:themeColor="background1"/>
                          <w:szCs w:val="20"/>
                        </w:rPr>
                        <w:t>Greater Geelong City Council</w:t>
                      </w:r>
                      <w:r w:rsidR="00A45AC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must now have a single-councillor ward electoral structure. </w:t>
                      </w:r>
                    </w:p>
                    <w:p w14:paraId="7A1263E7" w14:textId="1DEAA604" w:rsidR="00533759" w:rsidRPr="00624DB8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78756E">
                        <w:rPr>
                          <w:bCs/>
                          <w:color w:val="FFFFFF" w:themeColor="background1"/>
                          <w:szCs w:val="20"/>
                        </w:rPr>
                        <w:t xml:space="preserve">. The panel will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</w:t>
                      </w:r>
                      <w:r w:rsidR="00A45AC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Greater Geelong City 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1A7313E9" w:rsidR="005E451C" w:rsidRPr="005A3FC0" w:rsidRDefault="00533759" w:rsidP="00303185">
      <w:pPr>
        <w:pStyle w:val="Heading1A"/>
      </w:pPr>
      <w:r>
        <w:t xml:space="preserve">About </w:t>
      </w:r>
      <w:r w:rsidR="004959A8">
        <w:t xml:space="preserve">Greater Geelong City </w:t>
      </w:r>
      <w:r w:rsidR="005E451C" w:rsidRPr="005A3FC0">
        <w:t>Council</w:t>
      </w:r>
    </w:p>
    <w:p w14:paraId="681F1178" w14:textId="1D118598" w:rsidR="00303185" w:rsidRDefault="00B05615" w:rsidP="00533759">
      <w:pPr>
        <w:pStyle w:val="Body"/>
        <w:spacing w:after="240" w:line="240" w:lineRule="auto"/>
      </w:pPr>
      <w:r>
        <w:t xml:space="preserve">The Traditional Custodians of the </w:t>
      </w:r>
      <w:r w:rsidR="00D93015">
        <w:t xml:space="preserve">land in Greater Geelong City Council are the </w:t>
      </w:r>
      <w:r w:rsidR="00B31E3C">
        <w:t xml:space="preserve">Wadawurrung People. </w:t>
      </w:r>
    </w:p>
    <w:p w14:paraId="69D3069F" w14:textId="55F66724" w:rsidR="00260EF6" w:rsidRDefault="006C2E39" w:rsidP="00E331A0">
      <w:pPr>
        <w:pStyle w:val="Body"/>
      </w:pPr>
      <w:r>
        <w:t xml:space="preserve">Greater Geelong City Council </w:t>
      </w:r>
      <w:r w:rsidR="00B939F4">
        <w:t>is about 70 km south</w:t>
      </w:r>
      <w:r w:rsidR="005B1E29">
        <w:t>-</w:t>
      </w:r>
      <w:r w:rsidR="00B939F4">
        <w:t xml:space="preserve">west of </w:t>
      </w:r>
      <w:r w:rsidR="00810A08">
        <w:t>central Melbourne</w:t>
      </w:r>
      <w:r w:rsidR="005E5981">
        <w:t xml:space="preserve">. Covering </w:t>
      </w:r>
      <w:r w:rsidR="00810A08">
        <w:t xml:space="preserve">an area of </w:t>
      </w:r>
      <w:r w:rsidR="00E331A0">
        <w:t>1,248 km</w:t>
      </w:r>
      <w:r w:rsidR="00FC5E1B">
        <w:rPr>
          <w:vertAlign w:val="superscript"/>
        </w:rPr>
        <w:t>2</w:t>
      </w:r>
      <w:r w:rsidR="00E331A0">
        <w:t xml:space="preserve"> it is home to 271,057 people. </w:t>
      </w:r>
      <w:r w:rsidR="00E22FC7">
        <w:t>It</w:t>
      </w:r>
      <w:r w:rsidR="001F4A4A">
        <w:t xml:space="preserve"> is the </w:t>
      </w:r>
      <w:r w:rsidR="00E22FC7">
        <w:t xml:space="preserve">most populated of Victoria’s </w:t>
      </w:r>
      <w:r w:rsidR="000E5188">
        <w:t>regional cities and is</w:t>
      </w:r>
      <w:r w:rsidR="0078375C">
        <w:t xml:space="preserve"> the</w:t>
      </w:r>
      <w:r w:rsidR="000E5188">
        <w:t xml:space="preserve"> </w:t>
      </w:r>
      <w:r w:rsidR="0078375C">
        <w:t xml:space="preserve">third most populated </w:t>
      </w:r>
      <w:r w:rsidR="004372C9">
        <w:t>local council</w:t>
      </w:r>
      <w:r w:rsidR="00103E6E">
        <w:t xml:space="preserve"> in the state</w:t>
      </w:r>
      <w:r w:rsidR="00F235B4">
        <w:t xml:space="preserve">. </w:t>
      </w:r>
      <w:r w:rsidR="00E651C0">
        <w:t>It has a fast-growing population and is forecast to reach about 400,000 people by 2041.</w:t>
      </w:r>
    </w:p>
    <w:p w14:paraId="436B12D8" w14:textId="7E82F3EF" w:rsidR="00BA41C8" w:rsidRDefault="00634A24" w:rsidP="00634A24">
      <w:pPr>
        <w:pStyle w:val="Body"/>
        <w:spacing w:after="240" w:line="240" w:lineRule="auto"/>
      </w:pPr>
      <w:r w:rsidRPr="005F19D3">
        <w:t xml:space="preserve">Greater Geelong </w:t>
      </w:r>
      <w:r>
        <w:t xml:space="preserve">has a history of </w:t>
      </w:r>
      <w:r w:rsidRPr="005F19D3">
        <w:t>industrial manufacturing and has Victoria’s second largest seaport and airport.</w:t>
      </w:r>
      <w:r>
        <w:t xml:space="preserve"> </w:t>
      </w:r>
    </w:p>
    <w:p w14:paraId="707B9CEC" w14:textId="3B1A042E" w:rsidR="00B74C22" w:rsidRDefault="00FB00EE" w:rsidP="00533759">
      <w:pPr>
        <w:pStyle w:val="Body"/>
        <w:spacing w:after="240" w:line="240" w:lineRule="auto"/>
        <w:rPr>
          <w:rFonts w:eastAsia="Times New Roman" w:cs="Calibri"/>
          <w:color w:val="000000"/>
          <w:lang w:eastAsia="en-AU"/>
        </w:rPr>
      </w:pPr>
      <w:r>
        <w:t xml:space="preserve">Geelong is the main </w:t>
      </w:r>
      <w:r w:rsidR="00603AE2">
        <w:t>town</w:t>
      </w:r>
      <w:r w:rsidR="00A212BD">
        <w:t>,</w:t>
      </w:r>
      <w:r>
        <w:t xml:space="preserve"> with a population of about 180,000 people. </w:t>
      </w:r>
      <w:r w:rsidR="00685DBD">
        <w:t>O</w:t>
      </w:r>
      <w:r w:rsidR="00A212BD">
        <w:t xml:space="preserve">ther </w:t>
      </w:r>
      <w:r w:rsidR="00733B36">
        <w:t>large</w:t>
      </w:r>
      <w:r w:rsidR="00A212BD">
        <w:t xml:space="preserve"> settlements </w:t>
      </w:r>
      <w:r w:rsidR="00685DBD">
        <w:t xml:space="preserve">in the council area </w:t>
      </w:r>
      <w:r w:rsidR="00A212BD">
        <w:t xml:space="preserve">are </w:t>
      </w:r>
      <w:r>
        <w:t>Ocean Grove</w:t>
      </w:r>
      <w:r w:rsidR="00603AE2">
        <w:t>,</w:t>
      </w:r>
      <w:r>
        <w:t xml:space="preserve"> Barwon Heads</w:t>
      </w:r>
      <w:r w:rsidR="00DD1336">
        <w:t xml:space="preserve">, </w:t>
      </w:r>
      <w:r>
        <w:t>Drysdale</w:t>
      </w:r>
      <w:r w:rsidR="001E56BE">
        <w:t>,</w:t>
      </w:r>
      <w:r>
        <w:t xml:space="preserve"> Clifton Springs</w:t>
      </w:r>
      <w:r w:rsidR="00346EB2">
        <w:t xml:space="preserve">, </w:t>
      </w:r>
      <w:r>
        <w:t>Lara and Leopold</w:t>
      </w:r>
      <w:r w:rsidR="00F31F88">
        <w:t xml:space="preserve">. </w:t>
      </w:r>
      <w:r>
        <w:t xml:space="preserve">The overall </w:t>
      </w:r>
      <w:r>
        <w:rPr>
          <w:rFonts w:eastAsia="Times New Roman" w:cs="Calibri"/>
          <w:color w:val="000000"/>
          <w:lang w:eastAsia="en-AU"/>
        </w:rPr>
        <w:t xml:space="preserve">rural </w:t>
      </w:r>
      <w:r>
        <w:t xml:space="preserve">population </w:t>
      </w:r>
      <w:r>
        <w:rPr>
          <w:rFonts w:eastAsia="Times New Roman" w:cs="Calibri"/>
          <w:color w:val="000000"/>
          <w:lang w:eastAsia="en-AU"/>
        </w:rPr>
        <w:t>is about 9,000 people</w:t>
      </w:r>
      <w:r w:rsidR="00543804">
        <w:rPr>
          <w:rFonts w:eastAsia="Times New Roman" w:cs="Calibri"/>
          <w:color w:val="000000"/>
          <w:lang w:eastAsia="en-AU"/>
        </w:rPr>
        <w:t>.</w:t>
      </w:r>
    </w:p>
    <w:p w14:paraId="5E0367EC" w14:textId="78309E69" w:rsidR="00042B87" w:rsidRDefault="007D5854" w:rsidP="00533759">
      <w:pPr>
        <w:pStyle w:val="Body"/>
        <w:spacing w:after="240" w:line="240" w:lineRule="auto"/>
      </w:pPr>
      <w:r>
        <w:t xml:space="preserve">Prominent natural </w:t>
      </w:r>
      <w:r w:rsidR="00904E38" w:rsidRPr="00904E38">
        <w:t xml:space="preserve">features of the </w:t>
      </w:r>
      <w:r w:rsidR="00DD4C0E">
        <w:t xml:space="preserve">council area </w:t>
      </w:r>
      <w:r w:rsidR="00904E38" w:rsidRPr="00904E38">
        <w:t xml:space="preserve">include </w:t>
      </w:r>
      <w:r w:rsidR="00904E38">
        <w:t>the Bellarine Pen</w:t>
      </w:r>
      <w:r w:rsidR="005370FA">
        <w:t xml:space="preserve">insula, the </w:t>
      </w:r>
      <w:r w:rsidR="00904E38" w:rsidRPr="00904E38">
        <w:t xml:space="preserve">Brisbane Ranges National Park, </w:t>
      </w:r>
      <w:r w:rsidR="005370FA">
        <w:t xml:space="preserve">the </w:t>
      </w:r>
      <w:r w:rsidR="00904E38" w:rsidRPr="00904E38">
        <w:t xml:space="preserve">You Yangs Regional Park, </w:t>
      </w:r>
      <w:r w:rsidR="005370FA">
        <w:t xml:space="preserve">and the </w:t>
      </w:r>
      <w:r w:rsidR="00904E38" w:rsidRPr="00904E38">
        <w:t>Barwon Rive</w:t>
      </w:r>
      <w:r w:rsidR="008145A0">
        <w:t>r</w:t>
      </w:r>
      <w:r w:rsidR="003919D5">
        <w:t>.</w:t>
      </w:r>
    </w:p>
    <w:p w14:paraId="69F5D147" w14:textId="1CB66635" w:rsidR="0099259E" w:rsidRDefault="009A03BD" w:rsidP="00533759">
      <w:pPr>
        <w:pStyle w:val="Body"/>
        <w:spacing w:after="240" w:line="240" w:lineRule="auto"/>
      </w:pPr>
      <w:r w:rsidRPr="00A66F64">
        <w:t xml:space="preserve">The median age </w:t>
      </w:r>
      <w:r w:rsidR="00346DC2">
        <w:t xml:space="preserve">in the council </w:t>
      </w:r>
      <w:r w:rsidRPr="00A66F64">
        <w:t>is 39</w:t>
      </w:r>
      <w:r w:rsidR="001E56BE">
        <w:t>. This is</w:t>
      </w:r>
      <w:r w:rsidRPr="00A66F64">
        <w:t xml:space="preserve"> </w:t>
      </w:r>
      <w:r w:rsidR="004D77C6">
        <w:t xml:space="preserve">slightly younger than the median </w:t>
      </w:r>
      <w:r w:rsidRPr="00A66F64">
        <w:t xml:space="preserve">of 43 </w:t>
      </w:r>
      <w:r w:rsidR="005C37D2">
        <w:t xml:space="preserve">years </w:t>
      </w:r>
      <w:r w:rsidRPr="00A66F64">
        <w:t>for regional Victoria</w:t>
      </w:r>
      <w:r w:rsidR="00583038">
        <w:t xml:space="preserve"> </w:t>
      </w:r>
      <w:r w:rsidR="004D77C6">
        <w:t xml:space="preserve">but </w:t>
      </w:r>
      <w:r w:rsidR="00583038">
        <w:t>similar to the</w:t>
      </w:r>
      <w:r w:rsidR="001E56BE">
        <w:t xml:space="preserve"> overall Victorian</w:t>
      </w:r>
      <w:r w:rsidR="00583038">
        <w:t xml:space="preserve"> median of 38</w:t>
      </w:r>
      <w:r w:rsidRPr="00A66F64">
        <w:t xml:space="preserve">. </w:t>
      </w:r>
      <w:r w:rsidR="00423927">
        <w:t>The median weekly household income is $1,</w:t>
      </w:r>
      <w:r w:rsidR="00A50229">
        <w:t>592</w:t>
      </w:r>
      <w:r w:rsidR="00423927">
        <w:t>, compared to $1,386 for regional Victoria</w:t>
      </w:r>
      <w:r w:rsidR="00257321">
        <w:t xml:space="preserve"> and </w:t>
      </w:r>
      <w:r w:rsidR="00CD7941">
        <w:t>$1,759 for Victoria overall</w:t>
      </w:r>
      <w:r w:rsidR="00423927">
        <w:t>.</w:t>
      </w:r>
      <w:r w:rsidR="004223C4">
        <w:t xml:space="preserve"> </w:t>
      </w:r>
      <w:r w:rsidR="0099259E">
        <w:t xml:space="preserve">The </w:t>
      </w:r>
      <w:r w:rsidR="00A13F33">
        <w:t xml:space="preserve">proportion of the population who </w:t>
      </w:r>
      <w:r w:rsidR="0099259E" w:rsidRPr="0099259E">
        <w:t>identi</w:t>
      </w:r>
      <w:r w:rsidR="00EB5B24">
        <w:t>fy</w:t>
      </w:r>
      <w:r w:rsidR="0099259E" w:rsidRPr="0099259E">
        <w:t xml:space="preserve"> as Aboriginal and/or Torres Strait Islander peoples</w:t>
      </w:r>
      <w:r w:rsidR="0099259E">
        <w:t xml:space="preserve"> </w:t>
      </w:r>
      <w:r w:rsidR="00A13F33">
        <w:t xml:space="preserve">is </w:t>
      </w:r>
      <w:r w:rsidR="0099259E" w:rsidRPr="0099259E">
        <w:t>1.3%</w:t>
      </w:r>
      <w:r w:rsidR="00274C20">
        <w:t xml:space="preserve">, </w:t>
      </w:r>
      <w:r w:rsidR="0099259E" w:rsidRPr="0099259E">
        <w:t xml:space="preserve">slightly higher than </w:t>
      </w:r>
      <w:r w:rsidR="00EB5B24">
        <w:t xml:space="preserve">for </w:t>
      </w:r>
      <w:r w:rsidR="0099259E" w:rsidRPr="0099259E">
        <w:t>Victoria</w:t>
      </w:r>
      <w:r w:rsidR="00274C20">
        <w:t xml:space="preserve"> </w:t>
      </w:r>
      <w:r w:rsidR="00EB5B24">
        <w:t xml:space="preserve">overall </w:t>
      </w:r>
      <w:r w:rsidR="00274C20">
        <w:t>(1%)</w:t>
      </w:r>
      <w:r w:rsidR="0099259E" w:rsidRPr="0099259E">
        <w:t xml:space="preserve">.  </w:t>
      </w:r>
    </w:p>
    <w:p w14:paraId="7817DA9F" w14:textId="166A81F0" w:rsidR="00042B87" w:rsidRPr="00533759" w:rsidRDefault="00042B87" w:rsidP="00533759">
      <w:pPr>
        <w:pStyle w:val="Body"/>
        <w:spacing w:after="240" w:line="240" w:lineRule="auto"/>
        <w:sectPr w:rsidR="00042B87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3285D4B" w14:textId="77777777" w:rsidR="00C22F0F" w:rsidRPr="00C22F0F" w:rsidRDefault="00C22F0F" w:rsidP="00C22F0F">
      <w:pPr>
        <w:spacing w:after="20"/>
      </w:pPr>
    </w:p>
    <w:p w14:paraId="2C877BB0" w14:textId="012A69C5" w:rsidR="004B309B" w:rsidRPr="007D6614" w:rsidRDefault="004B309B" w:rsidP="00E25ED3">
      <w:pPr>
        <w:pStyle w:val="Heading2"/>
      </w:pPr>
      <w:r w:rsidRPr="00E25ED3">
        <w:t xml:space="preserve">Current </w:t>
      </w:r>
      <w:r w:rsidR="00357BE0" w:rsidRPr="007D6614">
        <w:t>s</w:t>
      </w:r>
      <w:r w:rsidRPr="007D6614">
        <w:t>tructure</w:t>
      </w:r>
    </w:p>
    <w:p w14:paraId="64A0D79E" w14:textId="0C19885D" w:rsidR="004B309B" w:rsidRPr="007D6614" w:rsidRDefault="005878BD" w:rsidP="004B309B">
      <w:pPr>
        <w:pStyle w:val="Body"/>
        <w:spacing w:after="240" w:line="240" w:lineRule="auto"/>
      </w:pPr>
      <w:r w:rsidRPr="007D6614">
        <w:t xml:space="preserve">Greater Geelong City </w:t>
      </w:r>
      <w:r w:rsidR="001557DA" w:rsidRPr="007D6614">
        <w:t xml:space="preserve">Council </w:t>
      </w:r>
      <w:r w:rsidR="004B309B" w:rsidRPr="007D6614">
        <w:t>is divided into</w:t>
      </w:r>
      <w:r w:rsidR="00E3332A" w:rsidRPr="007D6614">
        <w:t xml:space="preserve"> </w:t>
      </w:r>
      <w:r w:rsidR="00056E06" w:rsidRPr="007D6614">
        <w:t>4</w:t>
      </w:r>
      <w:r w:rsidR="0094715B" w:rsidRPr="007D6614">
        <w:t xml:space="preserve"> wards </w:t>
      </w:r>
      <w:r w:rsidR="004B309B" w:rsidRPr="007D6614">
        <w:t xml:space="preserve">with a total of </w:t>
      </w:r>
      <w:r w:rsidR="00056E06" w:rsidRPr="007D6614">
        <w:t>11</w:t>
      </w:r>
      <w:r w:rsidR="00A16431" w:rsidRPr="007D6614">
        <w:t xml:space="preserve"> councillors:</w:t>
      </w:r>
      <w:r w:rsidR="004B309B" w:rsidRPr="007D6614">
        <w:t xml:space="preserve">  </w:t>
      </w:r>
    </w:p>
    <w:p w14:paraId="17EADD04" w14:textId="36553472" w:rsidR="00A55CE7" w:rsidRPr="007D6614" w:rsidRDefault="00057067" w:rsidP="001E6B21">
      <w:pPr>
        <w:pStyle w:val="Bulletlevel1"/>
        <w:spacing w:after="0"/>
      </w:pPr>
      <w:r>
        <w:t>o</w:t>
      </w:r>
      <w:r w:rsidR="00B17425" w:rsidRPr="007D6614">
        <w:t xml:space="preserve">ne </w:t>
      </w:r>
      <w:r w:rsidR="0087655E" w:rsidRPr="007D6614">
        <w:t>ward</w:t>
      </w:r>
      <w:r w:rsidR="00931605" w:rsidRPr="007D6614">
        <w:t xml:space="preserve"> with </w:t>
      </w:r>
      <w:r w:rsidR="00B17425" w:rsidRPr="007D6614">
        <w:t>2</w:t>
      </w:r>
      <w:r w:rsidR="006D729D" w:rsidRPr="007D6614">
        <w:t xml:space="preserve"> councillors</w:t>
      </w:r>
    </w:p>
    <w:p w14:paraId="5820B09E" w14:textId="7B9E2A19" w:rsidR="004416AD" w:rsidRPr="007D6614" w:rsidRDefault="005F51B1" w:rsidP="004416AD">
      <w:pPr>
        <w:pStyle w:val="Bulletlevel1"/>
        <w:spacing w:after="0"/>
      </w:pPr>
      <w:r w:rsidRPr="007D6614">
        <w:t xml:space="preserve">3 wards </w:t>
      </w:r>
      <w:r w:rsidR="004416AD" w:rsidRPr="007D6614">
        <w:t xml:space="preserve">with </w:t>
      </w:r>
      <w:r w:rsidRPr="007D6614">
        <w:t>3</w:t>
      </w:r>
      <w:r w:rsidR="006D729D" w:rsidRPr="007D6614">
        <w:t xml:space="preserve"> </w:t>
      </w:r>
      <w:r w:rsidR="004416AD" w:rsidRPr="007D6614">
        <w:t>councillors each</w:t>
      </w:r>
    </w:p>
    <w:p w14:paraId="4BEC8A4D" w14:textId="77777777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6BA48507" w14:textId="7D660DCE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1B71BB86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</w:t>
      </w:r>
      <w:r w:rsidR="005878BD">
        <w:t xml:space="preserve"> Greater Geelong City Council</w:t>
      </w:r>
      <w:r w:rsidR="001A00BE">
        <w:t xml:space="preserve"> </w:t>
      </w:r>
      <w:r w:rsidR="00CE77A4">
        <w:t xml:space="preserve">in </w:t>
      </w:r>
      <w:r w:rsidR="00EF2E9B">
        <w:t>2015</w:t>
      </w:r>
      <w:r w:rsidR="00057067">
        <w:t>–</w:t>
      </w:r>
      <w:r w:rsidR="00EF2E9B">
        <w:t>16</w:t>
      </w:r>
      <w:r w:rsidR="00CE77A4">
        <w:t>.</w:t>
      </w:r>
    </w:p>
    <w:p w14:paraId="1E1471D3" w14:textId="3B91B8A8" w:rsidR="00683AB2" w:rsidRDefault="00CE77A4" w:rsidP="001E6B21">
      <w:pPr>
        <w:pStyle w:val="Body"/>
        <w:spacing w:after="240" w:line="240" w:lineRule="auto"/>
      </w:pPr>
      <w:r>
        <w:lastRenderedPageBreak/>
        <w:t xml:space="preserve">Visit the VEC website at </w:t>
      </w:r>
      <w:hyperlink r:id="rId14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AB3DE3">
        <w:t>2015</w:t>
      </w:r>
      <w:r w:rsidR="00FE6D76">
        <w:t>–</w:t>
      </w:r>
      <w:r w:rsidR="00AB3DE3">
        <w:t>16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2AA6C6B4" w:rsidR="00442535" w:rsidRDefault="00476C62" w:rsidP="00C93B58">
      <w:pPr>
        <w:pStyle w:val="Heading2a"/>
      </w:pPr>
      <w:r>
        <w:t xml:space="preserve">Monday </w:t>
      </w:r>
      <w:r w:rsidR="006C2195">
        <w:t xml:space="preserve">3 and </w:t>
      </w:r>
      <w:r>
        <w:t xml:space="preserve">Tuesday </w:t>
      </w:r>
      <w:r w:rsidR="006C2195">
        <w:t>4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17FF1057" w:rsidR="001C2597" w:rsidRDefault="00C93B58" w:rsidP="000378E4">
      <w:pPr>
        <w:pStyle w:val="BodyA"/>
      </w:pPr>
      <w:r w:rsidRPr="00C93B58">
        <w:t xml:space="preserve">Session 1: </w:t>
      </w:r>
      <w:r w:rsidR="00B3506A">
        <w:t>12 noon</w:t>
      </w:r>
      <w:r w:rsidR="00FE6D76">
        <w:t>,</w:t>
      </w:r>
      <w:r w:rsidR="00B3506A">
        <w:t xml:space="preserve"> </w:t>
      </w:r>
      <w:r w:rsidR="003D70B1">
        <w:t xml:space="preserve">Monday 3 July </w:t>
      </w:r>
    </w:p>
    <w:p w14:paraId="1AF94748" w14:textId="2F229B05" w:rsidR="00C93B58" w:rsidRPr="00C93B58" w:rsidRDefault="00C93B58" w:rsidP="000378E4">
      <w:pPr>
        <w:pStyle w:val="BodyA"/>
      </w:pPr>
      <w:r w:rsidRPr="00C93B58">
        <w:t xml:space="preserve">Session 2: </w:t>
      </w:r>
      <w:r w:rsidR="009F3129">
        <w:t>6 pm</w:t>
      </w:r>
      <w:r w:rsidR="00FE6D76">
        <w:t>,</w:t>
      </w:r>
      <w:r w:rsidR="009F3129">
        <w:t xml:space="preserve"> Tuesday 4 July 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38274DF2" w:rsidR="00C93B58" w:rsidRDefault="00DF5506" w:rsidP="00C76AB3">
      <w:pPr>
        <w:pStyle w:val="Heading2a"/>
      </w:pPr>
      <w:r>
        <w:t>Wednesday 5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78496A79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332815">
        <w:t>Wed</w:t>
      </w:r>
      <w:r w:rsidR="003010E9">
        <w:t xml:space="preserve">nesday </w:t>
      </w:r>
      <w:r w:rsidR="00332815">
        <w:t>5 July</w:t>
      </w:r>
      <w:r w:rsidR="003011AE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20AF3B25" w:rsidR="00C76AB3" w:rsidRDefault="0037172A" w:rsidP="00C76AB3">
      <w:pPr>
        <w:pStyle w:val="Heading2a"/>
      </w:pPr>
      <w:r>
        <w:t>Wed</w:t>
      </w:r>
      <w:r w:rsidR="00C21A3E">
        <w:t>nesday</w:t>
      </w:r>
      <w:r>
        <w:t xml:space="preserve"> 26 Jul</w:t>
      </w:r>
      <w:r w:rsidR="00C21A3E">
        <w:t>y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5232DED3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C21A3E">
        <w:t>Wednesday 26 July</w:t>
      </w:r>
      <w:r>
        <w:t>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1D103CCF" w:rsidR="00C76AB3" w:rsidRDefault="00D4570E" w:rsidP="00C76AB3">
      <w:pPr>
        <w:pStyle w:val="Heading2a"/>
      </w:pPr>
      <w:r>
        <w:t>Tuesday 1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0E01B27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3F6FEC">
        <w:t xml:space="preserve">10 am </w:t>
      </w:r>
      <w:r w:rsidR="0020046C">
        <w:t xml:space="preserve">on </w:t>
      </w:r>
      <w:r w:rsidR="003F6FEC">
        <w:t>T</w:t>
      </w:r>
      <w:r w:rsidR="00B57F3D">
        <w:t xml:space="preserve">uesday </w:t>
      </w:r>
      <w:r w:rsidR="009658DF">
        <w:br/>
      </w:r>
      <w:r w:rsidR="00B57F3D">
        <w:t>1 August</w:t>
      </w:r>
      <w:r w:rsidR="00C17004">
        <w:t>.</w:t>
      </w:r>
    </w:p>
    <w:p w14:paraId="238F8159" w14:textId="03612637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CE989AF" w14:textId="6D6235E2" w:rsidR="000378E4" w:rsidRDefault="00C27815" w:rsidP="000378E4">
      <w:pPr>
        <w:pStyle w:val="Heading2a"/>
      </w:pPr>
      <w:r>
        <w:t xml:space="preserve">Wednesday </w:t>
      </w:r>
      <w:r w:rsidR="00916F93">
        <w:t xml:space="preserve">30 August 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7DC78E8E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</w:t>
      </w:r>
      <w:r w:rsidR="00C40A15">
        <w:t>,</w:t>
      </w:r>
      <w:r w:rsidRPr="00132DC6">
        <w:t xml:space="preserve"> including </w:t>
      </w:r>
      <w:r w:rsidR="00476C62">
        <w:t>its</w:t>
      </w:r>
      <w:r w:rsidR="0045156E">
        <w:t xml:space="preserve"> advice </w:t>
      </w:r>
      <w:r w:rsidR="00476C62">
        <w:t>on</w:t>
      </w:r>
      <w:r w:rsidR="00476C62" w:rsidRPr="00132DC6">
        <w:t xml:space="preserve"> </w:t>
      </w:r>
      <w:r w:rsidRPr="00132DC6">
        <w:t>the electoral structure</w:t>
      </w:r>
      <w:r w:rsidR="00C40A15">
        <w:t>,</w:t>
      </w:r>
      <w:r>
        <w:t xml:space="preserve"> on</w:t>
      </w:r>
      <w:r w:rsidR="00C77524">
        <w:t xml:space="preserve"> </w:t>
      </w:r>
      <w:r w:rsidR="00C27815">
        <w:t xml:space="preserve">Wednesday </w:t>
      </w:r>
      <w:r w:rsidR="0013611A">
        <w:t>30 August</w:t>
      </w:r>
      <w:r w:rsidR="00C77524">
        <w:t xml:space="preserve">. </w:t>
      </w:r>
    </w:p>
    <w:p w14:paraId="48E670BE" w14:textId="49D3FDBB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A05CF1">
        <w:t>is expected to</w:t>
      </w:r>
      <w:r w:rsidR="00E46822">
        <w:t xml:space="preserve"> apply at the </w:t>
      </w:r>
      <w:r w:rsidR="00584366">
        <w:t>next</w:t>
      </w:r>
      <w:r w:rsidR="00E46822">
        <w:t xml:space="preserve"> </w:t>
      </w:r>
      <w:r w:rsidR="00A05CF1">
        <w:t xml:space="preserve">local council </w:t>
      </w:r>
      <w:r w:rsidR="00E46822">
        <w:t>election</w:t>
      </w:r>
      <w:r w:rsidR="00A05CF1">
        <w:t>s</w:t>
      </w:r>
      <w:r w:rsidR="00E46822">
        <w:t>.</w:t>
      </w:r>
    </w:p>
    <w:p w14:paraId="0FDE4F03" w14:textId="3008185E" w:rsidR="00C46414" w:rsidRDefault="00385E80" w:rsidP="000378E4">
      <w:pPr>
        <w:pStyle w:val="BodyA"/>
      </w:pPr>
      <w:r>
        <w:t xml:space="preserve"> </w:t>
      </w:r>
    </w:p>
    <w:p w14:paraId="419BA9B6" w14:textId="0BCA839C" w:rsidR="00C9679A" w:rsidRDefault="00C9679A" w:rsidP="000378E4">
      <w:pPr>
        <w:pStyle w:val="BodyA"/>
      </w:pPr>
    </w:p>
    <w:p w14:paraId="7327BF00" w14:textId="56D76034" w:rsidR="00C9679A" w:rsidRDefault="00C9679A" w:rsidP="000378E4">
      <w:pPr>
        <w:pStyle w:val="BodyA"/>
      </w:pPr>
    </w:p>
    <w:p w14:paraId="1F9298D0" w14:textId="77777777" w:rsidR="00C9679A" w:rsidRDefault="00C9679A" w:rsidP="000378E4">
      <w:pPr>
        <w:pStyle w:val="BodyA"/>
      </w:pPr>
    </w:p>
    <w:p w14:paraId="6A4117C6" w14:textId="77777777" w:rsidR="00C46414" w:rsidRDefault="00C46414" w:rsidP="000378E4">
      <w:pPr>
        <w:pStyle w:val="BodyA"/>
      </w:pPr>
    </w:p>
    <w:p w14:paraId="229C13E1" w14:textId="24816BEE" w:rsidR="000378E4" w:rsidRDefault="00846705" w:rsidP="007848A5">
      <w:pPr>
        <w:pStyle w:val="Heading2"/>
        <w:spacing w:after="8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33CD5471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7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782579">
      <w:pPr>
        <w:pStyle w:val="Body"/>
        <w:spacing w:after="8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6087DD51" w14:textId="38F5F048" w:rsidR="00C04197" w:rsidRDefault="000E1FA2" w:rsidP="00BF41BB">
      <w:pPr>
        <w:pStyle w:val="Body"/>
        <w:spacing w:after="60" w:line="240" w:lineRule="auto"/>
        <w:ind w:left="425"/>
        <w:rPr>
          <w:noProof/>
          <w:lang w:eastAsia="en-AU"/>
        </w:rPr>
      </w:pPr>
      <w:hyperlink r:id="rId18" w:tgtFrame="_blank" w:tooltip="mailto:greatergeelong.erapsubmissions@vec.vic.gov.au" w:history="1">
        <w:r w:rsidR="00C04197">
          <w:rPr>
            <w:rStyle w:val="Hyperlink"/>
          </w:rPr>
          <w:t>GreaterGeelong.ERAPSubmissions</w:t>
        </w:r>
        <w:r w:rsidR="00B46778">
          <w:rPr>
            <w:rStyle w:val="Hyperlink"/>
          </w:rPr>
          <w:br/>
        </w:r>
        <w:r w:rsidR="00C04197">
          <w:rPr>
            <w:rStyle w:val="Hyperlink"/>
          </w:rPr>
          <w:t>@vec.vic.gov.au</w:t>
        </w:r>
      </w:hyperlink>
      <w:r w:rsidR="00C04197" w:rsidRPr="003214D1">
        <w:rPr>
          <w:noProof/>
          <w:lang w:eastAsia="en-AU"/>
        </w:rPr>
        <w:t xml:space="preserve"> </w:t>
      </w:r>
    </w:p>
    <w:p w14:paraId="6834D6CF" w14:textId="41908695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5019B3B5" w:rsidR="00BF41BB" w:rsidRDefault="00BF41BB" w:rsidP="00782579">
      <w:pPr>
        <w:pStyle w:val="Body"/>
        <w:spacing w:after="80" w:line="240" w:lineRule="auto"/>
        <w:ind w:left="425"/>
      </w:pPr>
      <w:r>
        <w:t xml:space="preserve">Electoral </w:t>
      </w:r>
      <w:r w:rsidR="00476C62">
        <w:t>r</w:t>
      </w:r>
      <w:r>
        <w:t xml:space="preserve">epresentation </w:t>
      </w:r>
      <w:r w:rsidR="00476C62">
        <w:t>a</w:t>
      </w:r>
      <w:r>
        <w:t xml:space="preserve">dvisory </w:t>
      </w:r>
      <w:r w:rsidR="00476C6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782579">
      <w:pPr>
        <w:pStyle w:val="Body"/>
        <w:spacing w:after="8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7848A5">
      <w:pPr>
        <w:pStyle w:val="Bulletlevel1"/>
        <w:spacing w:before="60" w:after="8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7848A5">
      <w:pPr>
        <w:pStyle w:val="Bulletlevel1"/>
        <w:spacing w:before="60" w:after="8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7848A5">
      <w:pPr>
        <w:pStyle w:val="Bulletlevel1"/>
        <w:spacing w:before="60" w:after="8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20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7848A5">
      <w:pPr>
        <w:pStyle w:val="Heading2"/>
        <w:spacing w:after="80"/>
      </w:pPr>
      <w:r>
        <w:t>Submission guide</w:t>
      </w:r>
    </w:p>
    <w:p w14:paraId="4EB63A9B" w14:textId="77777777" w:rsidR="000378E4" w:rsidRPr="003214D1" w:rsidRDefault="000378E4" w:rsidP="000378E4">
      <w:pPr>
        <w:pStyle w:val="Body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21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7848A5">
      <w:pPr>
        <w:pStyle w:val="Heading2"/>
        <w:spacing w:after="8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1BA01B0E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</w:t>
      </w:r>
      <w:r w:rsidR="00E70E2A">
        <w:t xml:space="preserve">within </w:t>
      </w:r>
      <w:r w:rsidR="0072203E">
        <w:t xml:space="preserve">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2E58D94F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lastRenderedPageBreak/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13BB19" w14:textId="1A37407E" w:rsidR="00846705" w:rsidRDefault="00B560B9" w:rsidP="00130970">
      <w:pPr>
        <w:pStyle w:val="Heading1A"/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  <w:r w:rsidRPr="00FF3347">
        <w:t>Current electoral struct</w:t>
      </w:r>
      <w:r w:rsidR="00D4462E" w:rsidRPr="00FF3347">
        <w:t>ure</w:t>
      </w:r>
    </w:p>
    <w:p w14:paraId="4D0D393C" w14:textId="77777777" w:rsidR="00E829F5" w:rsidRDefault="00E829F5" w:rsidP="00E829F5"/>
    <w:p w14:paraId="63BE2208" w14:textId="11703D07" w:rsidR="00E829F5" w:rsidRDefault="00543996" w:rsidP="00393E75">
      <w:pPr>
        <w:jc w:val="center"/>
      </w:pPr>
      <w:r>
        <w:rPr>
          <w:noProof/>
        </w:rPr>
        <w:drawing>
          <wp:inline distT="0" distB="0" distL="0" distR="0" wp14:anchorId="3C6DECFD" wp14:editId="261F6AE1">
            <wp:extent cx="5509083" cy="4042793"/>
            <wp:effectExtent l="0" t="0" r="0" b="0"/>
            <wp:docPr id="7" name="Picture 7" descr="Map of current Greater Geelong City Council electoral structure, including councillor numbers per ward, voters per ward, and the devation from the plus-or-minus 10% average number of voters per councillor. All info in table that foll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current Greater Geelong City Council electoral structure, including councillor numbers per ward, voters per ward, and the devation from the plus-or-minus 10% average number of voters per councillor. All info in table that follows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83" cy="404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Greater Geelong current electoral structure"/>
        <w:tblDescription w:val="Details of Greater Geelong City Council's wards, councillors per ward, voters per ward, and the deviation from the plus or minus 10% average of voter numbers per councillor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1378D6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1378D6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1378D6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1378D6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62DB5BE2" w:rsidR="00043421" w:rsidRPr="007C7BB3" w:rsidRDefault="00713A3F" w:rsidP="001378D6">
            <w:pPr>
              <w:spacing w:after="0" w:line="240" w:lineRule="auto"/>
            </w:pPr>
            <w:r>
              <w:t>Bellarine</w:t>
            </w:r>
            <w:r w:rsidR="005400F6">
              <w:t xml:space="preserve"> Ward</w:t>
            </w:r>
          </w:p>
        </w:tc>
        <w:tc>
          <w:tcPr>
            <w:tcW w:w="1710" w:type="dxa"/>
          </w:tcPr>
          <w:p w14:paraId="3E2481E2" w14:textId="1460D448" w:rsidR="00043421" w:rsidRPr="007C7BB3" w:rsidRDefault="00713A3F" w:rsidP="00713A3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DFBF4C6" w14:textId="61BC8633" w:rsidR="00043421" w:rsidRPr="007C7BB3" w:rsidRDefault="00713A3F" w:rsidP="00713A3F">
            <w:pPr>
              <w:spacing w:after="0" w:line="240" w:lineRule="auto"/>
              <w:jc w:val="center"/>
            </w:pPr>
            <w:r>
              <w:t>61,412</w:t>
            </w:r>
          </w:p>
        </w:tc>
        <w:tc>
          <w:tcPr>
            <w:tcW w:w="1701" w:type="dxa"/>
          </w:tcPr>
          <w:p w14:paraId="52FFF372" w14:textId="18754DA3" w:rsidR="00043421" w:rsidRPr="007C7BB3" w:rsidRDefault="00713A3F" w:rsidP="00713A3F">
            <w:pPr>
              <w:spacing w:after="0" w:line="240" w:lineRule="auto"/>
              <w:jc w:val="center"/>
            </w:pPr>
            <w:r>
              <w:t>+6.03%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0481674E" w:rsidR="00043421" w:rsidRPr="007C7BB3" w:rsidRDefault="005400F6" w:rsidP="001378D6">
            <w:pPr>
              <w:spacing w:after="0" w:line="240" w:lineRule="auto"/>
            </w:pPr>
            <w:r>
              <w:t>Brownbill Ward</w:t>
            </w:r>
          </w:p>
        </w:tc>
        <w:tc>
          <w:tcPr>
            <w:tcW w:w="1710" w:type="dxa"/>
          </w:tcPr>
          <w:p w14:paraId="7C447210" w14:textId="79E54B3D" w:rsidR="00043421" w:rsidRPr="007C7BB3" w:rsidRDefault="00603257" w:rsidP="00254A1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E42FE41" w14:textId="465216A7" w:rsidR="00043421" w:rsidRPr="007C7BB3" w:rsidRDefault="00617C7B" w:rsidP="00254A13">
            <w:pPr>
              <w:spacing w:after="0" w:line="240" w:lineRule="auto"/>
              <w:jc w:val="center"/>
            </w:pPr>
            <w:r>
              <w:t>56,177</w:t>
            </w:r>
          </w:p>
        </w:tc>
        <w:tc>
          <w:tcPr>
            <w:tcW w:w="1701" w:type="dxa"/>
          </w:tcPr>
          <w:p w14:paraId="43982C12" w14:textId="5C382E9C" w:rsidR="00043421" w:rsidRPr="007C7BB3" w:rsidRDefault="00617C7B" w:rsidP="00254A13">
            <w:pPr>
              <w:spacing w:after="0" w:line="240" w:lineRule="auto"/>
              <w:jc w:val="center"/>
            </w:pPr>
            <w:r>
              <w:t>-3.01%</w:t>
            </w:r>
          </w:p>
        </w:tc>
      </w:tr>
      <w:tr w:rsidR="00043421" w:rsidRPr="007C7BB3" w14:paraId="73F76A08" w14:textId="2E75621F" w:rsidTr="007A7027">
        <w:tc>
          <w:tcPr>
            <w:tcW w:w="3388" w:type="dxa"/>
          </w:tcPr>
          <w:p w14:paraId="4F3F770B" w14:textId="0CB2470E" w:rsidR="00043421" w:rsidRPr="007C7BB3" w:rsidRDefault="004B4AC2" w:rsidP="001378D6">
            <w:pPr>
              <w:spacing w:after="0" w:line="240" w:lineRule="auto"/>
            </w:pPr>
            <w:r>
              <w:t>Kardinia Ward</w:t>
            </w:r>
          </w:p>
        </w:tc>
        <w:tc>
          <w:tcPr>
            <w:tcW w:w="1710" w:type="dxa"/>
          </w:tcPr>
          <w:p w14:paraId="50C6C16E" w14:textId="2C5DCA1F" w:rsidR="00043421" w:rsidRPr="007C7BB3" w:rsidRDefault="00603257" w:rsidP="00254A1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CD4CB4F" w14:textId="413AB841" w:rsidR="00043421" w:rsidRPr="007C7BB3" w:rsidRDefault="00DF2DAF" w:rsidP="00254A13">
            <w:pPr>
              <w:spacing w:after="0" w:line="240" w:lineRule="auto"/>
              <w:jc w:val="center"/>
            </w:pPr>
            <w:r>
              <w:t>59,439</w:t>
            </w:r>
          </w:p>
        </w:tc>
        <w:tc>
          <w:tcPr>
            <w:tcW w:w="1701" w:type="dxa"/>
          </w:tcPr>
          <w:p w14:paraId="68420804" w14:textId="29EBB8F3" w:rsidR="00043421" w:rsidRPr="007C7BB3" w:rsidRDefault="00DF2DAF" w:rsidP="00254A13">
            <w:pPr>
              <w:spacing w:after="0" w:line="240" w:lineRule="auto"/>
              <w:jc w:val="center"/>
            </w:pPr>
            <w:r>
              <w:t>+2.62%</w:t>
            </w:r>
          </w:p>
        </w:tc>
      </w:tr>
      <w:tr w:rsidR="00713A3F" w:rsidRPr="007C7BB3" w14:paraId="7AE5D0EE" w14:textId="77777777" w:rsidTr="007A7027">
        <w:tc>
          <w:tcPr>
            <w:tcW w:w="3388" w:type="dxa"/>
          </w:tcPr>
          <w:p w14:paraId="01AF476F" w14:textId="69A83C7E" w:rsidR="00713A3F" w:rsidRDefault="00713A3F" w:rsidP="00713A3F">
            <w:pPr>
              <w:spacing w:after="0" w:line="240" w:lineRule="auto"/>
            </w:pPr>
            <w:r>
              <w:t>Windemere Ward</w:t>
            </w:r>
          </w:p>
        </w:tc>
        <w:tc>
          <w:tcPr>
            <w:tcW w:w="1710" w:type="dxa"/>
          </w:tcPr>
          <w:p w14:paraId="3C542718" w14:textId="76259C4A" w:rsidR="00713A3F" w:rsidRDefault="00713A3F" w:rsidP="00713A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36C9F4A" w14:textId="1BE9C004" w:rsidR="00713A3F" w:rsidRDefault="00713A3F" w:rsidP="00713A3F">
            <w:pPr>
              <w:spacing w:after="0" w:line="240" w:lineRule="auto"/>
              <w:jc w:val="center"/>
            </w:pPr>
            <w:r>
              <w:t>35,341</w:t>
            </w:r>
          </w:p>
        </w:tc>
        <w:tc>
          <w:tcPr>
            <w:tcW w:w="1701" w:type="dxa"/>
          </w:tcPr>
          <w:p w14:paraId="79277CA5" w14:textId="71781A1D" w:rsidR="00713A3F" w:rsidRDefault="00713A3F" w:rsidP="00713A3F">
            <w:pPr>
              <w:spacing w:after="0" w:line="240" w:lineRule="auto"/>
              <w:jc w:val="center"/>
            </w:pPr>
            <w:r>
              <w:t>-8.47%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28D3EA69" w:rsidR="00E36B4A" w:rsidRPr="00BD7392" w:rsidRDefault="00E36B4A" w:rsidP="00E36B4A">
      <w:pPr>
        <w:pStyle w:val="Body"/>
        <w:spacing w:after="120"/>
        <w:ind w:right="91"/>
        <w:rPr>
          <w:vertAlign w:val="superscript"/>
        </w:rPr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BD7392">
        <w:t>1,2</w:t>
      </w:r>
      <w:r w:rsidR="00A25F56">
        <w:t>48</w:t>
      </w:r>
      <w:r w:rsidR="00BD7392">
        <w:t xml:space="preserve"> km</w:t>
      </w:r>
      <w:r w:rsidR="00BD7392">
        <w:rPr>
          <w:vertAlign w:val="superscript"/>
        </w:rPr>
        <w:t>2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332889B4" w:rsidR="00E36B4A" w:rsidRDefault="00E36B4A" w:rsidP="00E36B4A">
      <w:pPr>
        <w:pStyle w:val="Heading3"/>
      </w:pPr>
      <w:r>
        <w:t>Voter</w:t>
      </w:r>
      <w:r w:rsidR="00A75967">
        <w:t>s</w:t>
      </w:r>
      <w:r>
        <w:t xml:space="preserve"> </w:t>
      </w:r>
      <w:r w:rsidR="00473C80">
        <w:t>per square km</w:t>
      </w:r>
    </w:p>
    <w:p w14:paraId="2A013E8B" w14:textId="0D692DE6" w:rsidR="00E36B4A" w:rsidRDefault="00731093" w:rsidP="00E36B4A">
      <w:pPr>
        <w:pStyle w:val="Body"/>
      </w:pPr>
      <w:r w:rsidRPr="00A36FE2">
        <w:t>170.2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66E55D46" w:rsidR="00D4462E" w:rsidRPr="00D4462E" w:rsidRDefault="00E0396A" w:rsidP="00881EBC">
      <w:r w:rsidRPr="00A36FE2">
        <w:t>19,306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5BB541E8" w:rsidR="004B7D1A" w:rsidRDefault="00532EEA" w:rsidP="00846705">
      <w:pPr>
        <w:pStyle w:val="Body"/>
      </w:pPr>
      <w:r>
        <w:t>271,057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33B3E666" w:rsidR="004B7D1A" w:rsidRPr="004B7D1A" w:rsidRDefault="0026767F" w:rsidP="004B7D1A">
      <w:r w:rsidRPr="00A36FE2">
        <w:t>2.1</w:t>
      </w:r>
      <w:r w:rsidR="004B7D1A" w:rsidRPr="00A36FE2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9772621" w:rsidR="00846705" w:rsidRPr="00C92D70" w:rsidRDefault="004B7D1A" w:rsidP="00B316AF">
      <w:pPr>
        <w:pStyle w:val="Body"/>
        <w:jc w:val="right"/>
      </w:pPr>
      <w:r w:rsidRPr="00C92D70">
        <w:t xml:space="preserve">Further census statistics available at </w:t>
      </w:r>
      <w:hyperlink r:id="rId23" w:history="1">
        <w:r w:rsidRPr="00E70E2A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73BB3B08" w:rsidR="00E2340E" w:rsidRPr="003730AE" w:rsidRDefault="00B5311F" w:rsidP="003730AE">
      <w:pPr>
        <w:pStyle w:val="Heading1A"/>
      </w:pPr>
      <w:r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6BDAD825" w14:textId="56ADFC4B" w:rsidR="00876CFA" w:rsidRDefault="005E13CA" w:rsidP="004D1C77">
      <w:r>
        <w:rPr>
          <w:noProof/>
        </w:rPr>
        <w:drawing>
          <wp:inline distT="0" distB="0" distL="0" distR="0" wp14:anchorId="554BB7AF" wp14:editId="3673024A">
            <wp:extent cx="6119148" cy="8654400"/>
            <wp:effectExtent l="0" t="0" r="0" b="0"/>
            <wp:docPr id="8" name="Picture 8" descr="Detailed map of voter numbers by locality in Greater Geelong City Council. Data in table that foll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etailed map of voter numbers by locality in Greater Geelong City Council. Data in table that follows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148" cy="86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7A7275C4" w:rsidR="00876CFA" w:rsidRDefault="00FE2C8B" w:rsidP="007D2859">
      <w:pPr>
        <w:pStyle w:val="Heading2"/>
      </w:pPr>
      <w:r>
        <w:t xml:space="preserve">Greater Geelong City Council </w:t>
      </w:r>
      <w:r w:rsidR="00094704">
        <w:t>voter</w:t>
      </w:r>
      <w:r w:rsidR="005A7A95">
        <w:t xml:space="preserve"> numbers at </w:t>
      </w:r>
      <w:r w:rsidR="002F4C8A">
        <w:t>30 March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5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"/>
        <w:tblDescription w:val="List of localities (suburbs or towns) and the number of voters within them. 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C864C9" w14:paraId="2F66B2D4" w14:textId="77777777" w:rsidTr="00563664">
        <w:tc>
          <w:tcPr>
            <w:tcW w:w="2376" w:type="dxa"/>
          </w:tcPr>
          <w:p w14:paraId="43118EA8" w14:textId="19760EFB" w:rsidR="00C864C9" w:rsidRDefault="00C864C9" w:rsidP="00C864C9">
            <w:pPr>
              <w:spacing w:after="0" w:line="240" w:lineRule="auto"/>
            </w:pPr>
            <w:r w:rsidRPr="00FA283E">
              <w:t>Anakie</w:t>
            </w:r>
          </w:p>
        </w:tc>
        <w:tc>
          <w:tcPr>
            <w:tcW w:w="1276" w:type="dxa"/>
          </w:tcPr>
          <w:p w14:paraId="139AA989" w14:textId="612970B3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528 </w:t>
            </w:r>
          </w:p>
        </w:tc>
      </w:tr>
      <w:tr w:rsidR="00C864C9" w14:paraId="2A3A471E" w14:textId="77777777" w:rsidTr="00563664">
        <w:tc>
          <w:tcPr>
            <w:tcW w:w="2376" w:type="dxa"/>
          </w:tcPr>
          <w:p w14:paraId="11E7427D" w14:textId="0DD561BD" w:rsidR="00C864C9" w:rsidRDefault="00C864C9" w:rsidP="00C864C9">
            <w:pPr>
              <w:spacing w:after="0" w:line="240" w:lineRule="auto"/>
            </w:pPr>
            <w:r w:rsidRPr="00FA283E">
              <w:t>Armstrong Creek</w:t>
            </w:r>
          </w:p>
        </w:tc>
        <w:tc>
          <w:tcPr>
            <w:tcW w:w="1276" w:type="dxa"/>
          </w:tcPr>
          <w:p w14:paraId="6FEE7638" w14:textId="4E1359EA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8,442 </w:t>
            </w:r>
          </w:p>
        </w:tc>
      </w:tr>
      <w:tr w:rsidR="00C864C9" w14:paraId="5FE104B4" w14:textId="77777777" w:rsidTr="00563664">
        <w:tc>
          <w:tcPr>
            <w:tcW w:w="2376" w:type="dxa"/>
          </w:tcPr>
          <w:p w14:paraId="18C71EA5" w14:textId="576D4012" w:rsidR="00C864C9" w:rsidRDefault="00C864C9" w:rsidP="00C864C9">
            <w:pPr>
              <w:spacing w:after="0" w:line="240" w:lineRule="auto"/>
            </w:pPr>
            <w:r w:rsidRPr="00FA283E">
              <w:t>Avalon</w:t>
            </w:r>
          </w:p>
        </w:tc>
        <w:tc>
          <w:tcPr>
            <w:tcW w:w="1276" w:type="dxa"/>
          </w:tcPr>
          <w:p w14:paraId="29EF6421" w14:textId="153FD91E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190 </w:t>
            </w:r>
          </w:p>
        </w:tc>
      </w:tr>
      <w:tr w:rsidR="00C864C9" w14:paraId="18431158" w14:textId="77777777" w:rsidTr="00563664">
        <w:tc>
          <w:tcPr>
            <w:tcW w:w="2376" w:type="dxa"/>
          </w:tcPr>
          <w:p w14:paraId="567E4881" w14:textId="4D7920ED" w:rsidR="00C864C9" w:rsidRDefault="00C864C9" w:rsidP="00C864C9">
            <w:pPr>
              <w:spacing w:after="0" w:line="240" w:lineRule="auto"/>
            </w:pPr>
            <w:r w:rsidRPr="00FA283E">
              <w:t>Balliang</w:t>
            </w:r>
          </w:p>
        </w:tc>
        <w:tc>
          <w:tcPr>
            <w:tcW w:w="1276" w:type="dxa"/>
          </w:tcPr>
          <w:p w14:paraId="45B051E8" w14:textId="3AF0F373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135 </w:t>
            </w:r>
          </w:p>
        </w:tc>
      </w:tr>
      <w:tr w:rsidR="00C864C9" w14:paraId="6077AC09" w14:textId="77777777" w:rsidTr="00563664">
        <w:tc>
          <w:tcPr>
            <w:tcW w:w="2376" w:type="dxa"/>
          </w:tcPr>
          <w:p w14:paraId="5FFD0B33" w14:textId="48B843F7" w:rsidR="00C864C9" w:rsidRDefault="00C864C9" w:rsidP="00C864C9">
            <w:pPr>
              <w:spacing w:after="0" w:line="240" w:lineRule="auto"/>
            </w:pPr>
            <w:r w:rsidRPr="00FA283E">
              <w:t>Barwon Heads</w:t>
            </w:r>
          </w:p>
        </w:tc>
        <w:tc>
          <w:tcPr>
            <w:tcW w:w="1276" w:type="dxa"/>
          </w:tcPr>
          <w:p w14:paraId="09A38024" w14:textId="6014359E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3,845 </w:t>
            </w:r>
          </w:p>
        </w:tc>
      </w:tr>
      <w:tr w:rsidR="00C864C9" w14:paraId="663D9B17" w14:textId="77777777" w:rsidTr="00563664">
        <w:tc>
          <w:tcPr>
            <w:tcW w:w="2376" w:type="dxa"/>
          </w:tcPr>
          <w:p w14:paraId="6A0FAFA1" w14:textId="0259D4E8" w:rsidR="00C864C9" w:rsidRDefault="00C864C9" w:rsidP="00C864C9">
            <w:pPr>
              <w:spacing w:after="0" w:line="240" w:lineRule="auto"/>
            </w:pPr>
            <w:r w:rsidRPr="00FA283E">
              <w:t>Batesford</w:t>
            </w:r>
          </w:p>
        </w:tc>
        <w:tc>
          <w:tcPr>
            <w:tcW w:w="1276" w:type="dxa"/>
          </w:tcPr>
          <w:p w14:paraId="76D1B5EF" w14:textId="4B4967FA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251 </w:t>
            </w:r>
          </w:p>
        </w:tc>
      </w:tr>
      <w:tr w:rsidR="00C864C9" w14:paraId="08E16CA4" w14:textId="77777777" w:rsidTr="00563664">
        <w:tc>
          <w:tcPr>
            <w:tcW w:w="2376" w:type="dxa"/>
          </w:tcPr>
          <w:p w14:paraId="67397F6C" w14:textId="5A26B54B" w:rsidR="00C864C9" w:rsidRDefault="00C864C9" w:rsidP="00C864C9">
            <w:pPr>
              <w:spacing w:after="0" w:line="240" w:lineRule="auto"/>
            </w:pPr>
            <w:r w:rsidRPr="00FA283E">
              <w:t>Bell Park</w:t>
            </w:r>
          </w:p>
        </w:tc>
        <w:tc>
          <w:tcPr>
            <w:tcW w:w="1276" w:type="dxa"/>
          </w:tcPr>
          <w:p w14:paraId="23DA4DA5" w14:textId="1A05D611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4,276 </w:t>
            </w:r>
          </w:p>
        </w:tc>
      </w:tr>
      <w:tr w:rsidR="00C864C9" w14:paraId="7380D8B1" w14:textId="77777777" w:rsidTr="00563664">
        <w:tc>
          <w:tcPr>
            <w:tcW w:w="2376" w:type="dxa"/>
          </w:tcPr>
          <w:p w14:paraId="15D47673" w14:textId="6CF1F927" w:rsidR="00C864C9" w:rsidRDefault="00C864C9" w:rsidP="00C864C9">
            <w:pPr>
              <w:spacing w:after="0" w:line="240" w:lineRule="auto"/>
            </w:pPr>
            <w:r w:rsidRPr="00FA283E">
              <w:t>Bell Post Hill</w:t>
            </w:r>
          </w:p>
        </w:tc>
        <w:tc>
          <w:tcPr>
            <w:tcW w:w="1276" w:type="dxa"/>
          </w:tcPr>
          <w:p w14:paraId="12D0E8D4" w14:textId="19F0491A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3,965 </w:t>
            </w:r>
          </w:p>
        </w:tc>
      </w:tr>
      <w:tr w:rsidR="00C864C9" w14:paraId="13FEEAAF" w14:textId="77777777" w:rsidTr="00563664">
        <w:tc>
          <w:tcPr>
            <w:tcW w:w="2376" w:type="dxa"/>
          </w:tcPr>
          <w:p w14:paraId="730856A0" w14:textId="32312EB5" w:rsidR="00C864C9" w:rsidRDefault="00C864C9" w:rsidP="00C864C9">
            <w:pPr>
              <w:spacing w:after="0" w:line="240" w:lineRule="auto"/>
            </w:pPr>
            <w:r w:rsidRPr="00FA283E">
              <w:t>Bellarine</w:t>
            </w:r>
          </w:p>
        </w:tc>
        <w:tc>
          <w:tcPr>
            <w:tcW w:w="1276" w:type="dxa"/>
          </w:tcPr>
          <w:p w14:paraId="21F01FC1" w14:textId="23D99B70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140 </w:t>
            </w:r>
          </w:p>
        </w:tc>
      </w:tr>
      <w:tr w:rsidR="00C864C9" w14:paraId="1B615D7C" w14:textId="77777777" w:rsidTr="00563664">
        <w:tc>
          <w:tcPr>
            <w:tcW w:w="2376" w:type="dxa"/>
          </w:tcPr>
          <w:p w14:paraId="2EFDDD9F" w14:textId="6E2CEEAD" w:rsidR="00C864C9" w:rsidRDefault="00C864C9" w:rsidP="00C864C9">
            <w:pPr>
              <w:spacing w:after="0" w:line="240" w:lineRule="auto"/>
            </w:pPr>
            <w:r w:rsidRPr="00FA283E">
              <w:t>Belmont</w:t>
            </w:r>
          </w:p>
        </w:tc>
        <w:tc>
          <w:tcPr>
            <w:tcW w:w="1276" w:type="dxa"/>
          </w:tcPr>
          <w:p w14:paraId="5C2BE79D" w14:textId="4CCD5EA1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11,000 </w:t>
            </w:r>
          </w:p>
        </w:tc>
      </w:tr>
      <w:tr w:rsidR="00C864C9" w14:paraId="63390764" w14:textId="77777777" w:rsidTr="00563664">
        <w:tc>
          <w:tcPr>
            <w:tcW w:w="2376" w:type="dxa"/>
          </w:tcPr>
          <w:p w14:paraId="6B9E45D2" w14:textId="7DB42305" w:rsidR="00C864C9" w:rsidRDefault="00C864C9" w:rsidP="00C864C9">
            <w:pPr>
              <w:spacing w:after="0" w:line="240" w:lineRule="auto"/>
            </w:pPr>
            <w:r w:rsidRPr="00FA283E">
              <w:t>Breakwater</w:t>
            </w:r>
          </w:p>
        </w:tc>
        <w:tc>
          <w:tcPr>
            <w:tcW w:w="1276" w:type="dxa"/>
          </w:tcPr>
          <w:p w14:paraId="31E96E4B" w14:textId="02B08389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833 </w:t>
            </w:r>
          </w:p>
        </w:tc>
      </w:tr>
      <w:tr w:rsidR="00C864C9" w14:paraId="1DA5CB6B" w14:textId="77777777" w:rsidTr="00563664">
        <w:tc>
          <w:tcPr>
            <w:tcW w:w="2376" w:type="dxa"/>
          </w:tcPr>
          <w:p w14:paraId="7D920906" w14:textId="48B2D70A" w:rsidR="00C864C9" w:rsidRDefault="00C864C9" w:rsidP="00C864C9">
            <w:pPr>
              <w:spacing w:after="0" w:line="240" w:lineRule="auto"/>
            </w:pPr>
            <w:r w:rsidRPr="00FA283E">
              <w:t>Breamlea</w:t>
            </w:r>
          </w:p>
        </w:tc>
        <w:tc>
          <w:tcPr>
            <w:tcW w:w="1276" w:type="dxa"/>
          </w:tcPr>
          <w:p w14:paraId="66712503" w14:textId="0FF0844A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156 </w:t>
            </w:r>
          </w:p>
        </w:tc>
      </w:tr>
      <w:tr w:rsidR="00C864C9" w14:paraId="7CEEB0FA" w14:textId="77777777" w:rsidTr="00563664">
        <w:tc>
          <w:tcPr>
            <w:tcW w:w="2376" w:type="dxa"/>
          </w:tcPr>
          <w:p w14:paraId="5B538F02" w14:textId="190FB359" w:rsidR="00C864C9" w:rsidRDefault="00C864C9" w:rsidP="00C864C9">
            <w:pPr>
              <w:spacing w:after="0" w:line="240" w:lineRule="auto"/>
            </w:pPr>
            <w:r w:rsidRPr="00FA283E">
              <w:t>Ceres</w:t>
            </w:r>
          </w:p>
        </w:tc>
        <w:tc>
          <w:tcPr>
            <w:tcW w:w="1276" w:type="dxa"/>
          </w:tcPr>
          <w:p w14:paraId="2FA23597" w14:textId="0A60141C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210 </w:t>
            </w:r>
          </w:p>
        </w:tc>
      </w:tr>
      <w:tr w:rsidR="00C864C9" w14:paraId="6366ECF4" w14:textId="77777777" w:rsidTr="00563664">
        <w:tc>
          <w:tcPr>
            <w:tcW w:w="2376" w:type="dxa"/>
          </w:tcPr>
          <w:p w14:paraId="7091B15A" w14:textId="22F0212F" w:rsidR="00C864C9" w:rsidRDefault="00C864C9" w:rsidP="00C864C9">
            <w:pPr>
              <w:spacing w:after="0" w:line="240" w:lineRule="auto"/>
            </w:pPr>
            <w:r w:rsidRPr="00FA283E">
              <w:t>Charlemont</w:t>
            </w:r>
          </w:p>
        </w:tc>
        <w:tc>
          <w:tcPr>
            <w:tcW w:w="1276" w:type="dxa"/>
          </w:tcPr>
          <w:p w14:paraId="204DCAB9" w14:textId="7135C596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2,105 </w:t>
            </w:r>
          </w:p>
        </w:tc>
      </w:tr>
      <w:tr w:rsidR="00C864C9" w14:paraId="1A531215" w14:textId="77777777" w:rsidTr="00563664">
        <w:tc>
          <w:tcPr>
            <w:tcW w:w="2376" w:type="dxa"/>
          </w:tcPr>
          <w:p w14:paraId="5FA73334" w14:textId="36EA1091" w:rsidR="00C864C9" w:rsidRDefault="00C864C9" w:rsidP="00C864C9">
            <w:pPr>
              <w:spacing w:after="0" w:line="240" w:lineRule="auto"/>
            </w:pPr>
            <w:r w:rsidRPr="00FA283E">
              <w:t>Clifton Springs</w:t>
            </w:r>
          </w:p>
        </w:tc>
        <w:tc>
          <w:tcPr>
            <w:tcW w:w="1276" w:type="dxa"/>
          </w:tcPr>
          <w:p w14:paraId="2C642E5B" w14:textId="4C8A54EE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6,518 </w:t>
            </w:r>
          </w:p>
        </w:tc>
      </w:tr>
      <w:tr w:rsidR="00C864C9" w14:paraId="60C5D389" w14:textId="77777777" w:rsidTr="00563664">
        <w:tc>
          <w:tcPr>
            <w:tcW w:w="2376" w:type="dxa"/>
          </w:tcPr>
          <w:p w14:paraId="0865D805" w14:textId="71E90886" w:rsidR="00C864C9" w:rsidRDefault="00C864C9" w:rsidP="00C864C9">
            <w:pPr>
              <w:spacing w:after="0" w:line="240" w:lineRule="auto"/>
            </w:pPr>
            <w:r w:rsidRPr="00FA283E">
              <w:t>Connewarre</w:t>
            </w:r>
          </w:p>
        </w:tc>
        <w:tc>
          <w:tcPr>
            <w:tcW w:w="1276" w:type="dxa"/>
          </w:tcPr>
          <w:p w14:paraId="461CFA94" w14:textId="13F8E342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703 </w:t>
            </w:r>
          </w:p>
        </w:tc>
      </w:tr>
      <w:tr w:rsidR="00C864C9" w14:paraId="32A2C38F" w14:textId="77777777" w:rsidTr="00563664">
        <w:tc>
          <w:tcPr>
            <w:tcW w:w="2376" w:type="dxa"/>
          </w:tcPr>
          <w:p w14:paraId="273554E0" w14:textId="4E332814" w:rsidR="00C864C9" w:rsidRDefault="00C864C9" w:rsidP="00C864C9">
            <w:pPr>
              <w:spacing w:after="0" w:line="240" w:lineRule="auto"/>
            </w:pPr>
            <w:r w:rsidRPr="00FA283E">
              <w:t>Corio</w:t>
            </w:r>
          </w:p>
        </w:tc>
        <w:tc>
          <w:tcPr>
            <w:tcW w:w="1276" w:type="dxa"/>
          </w:tcPr>
          <w:p w14:paraId="4405EEB1" w14:textId="1B955D96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10,781 </w:t>
            </w:r>
          </w:p>
        </w:tc>
      </w:tr>
      <w:tr w:rsidR="00C864C9" w14:paraId="776B96BA" w14:textId="77777777" w:rsidTr="00563664">
        <w:tc>
          <w:tcPr>
            <w:tcW w:w="2376" w:type="dxa"/>
          </w:tcPr>
          <w:p w14:paraId="378C5B43" w14:textId="4C34008F" w:rsidR="00C864C9" w:rsidRDefault="00C864C9" w:rsidP="00C864C9">
            <w:pPr>
              <w:spacing w:after="0" w:line="240" w:lineRule="auto"/>
            </w:pPr>
            <w:r w:rsidRPr="00FA283E">
              <w:t>Curlewis</w:t>
            </w:r>
          </w:p>
        </w:tc>
        <w:tc>
          <w:tcPr>
            <w:tcW w:w="1276" w:type="dxa"/>
          </w:tcPr>
          <w:p w14:paraId="1E95E47F" w14:textId="02064937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3,263 </w:t>
            </w:r>
          </w:p>
        </w:tc>
      </w:tr>
      <w:tr w:rsidR="00C864C9" w14:paraId="23E1B742" w14:textId="77777777" w:rsidTr="00563664">
        <w:tc>
          <w:tcPr>
            <w:tcW w:w="2376" w:type="dxa"/>
          </w:tcPr>
          <w:p w14:paraId="7CB15387" w14:textId="46337F99" w:rsidR="00C864C9" w:rsidRDefault="00C864C9" w:rsidP="00C864C9">
            <w:pPr>
              <w:spacing w:after="0" w:line="240" w:lineRule="auto"/>
            </w:pPr>
            <w:r w:rsidRPr="00FA283E">
              <w:t>Drumcondra</w:t>
            </w:r>
          </w:p>
        </w:tc>
        <w:tc>
          <w:tcPr>
            <w:tcW w:w="1276" w:type="dxa"/>
          </w:tcPr>
          <w:p w14:paraId="39DE6551" w14:textId="40B2E867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466 </w:t>
            </w:r>
          </w:p>
        </w:tc>
      </w:tr>
      <w:tr w:rsidR="00C864C9" w14:paraId="224AA8C0" w14:textId="77777777" w:rsidTr="00563664">
        <w:tc>
          <w:tcPr>
            <w:tcW w:w="2376" w:type="dxa"/>
          </w:tcPr>
          <w:p w14:paraId="280DE737" w14:textId="2A8A7D67" w:rsidR="00C864C9" w:rsidRDefault="00C864C9" w:rsidP="00C864C9">
            <w:pPr>
              <w:spacing w:after="0" w:line="240" w:lineRule="auto"/>
            </w:pPr>
            <w:r w:rsidRPr="00FA283E">
              <w:t>Drysdale</w:t>
            </w:r>
          </w:p>
        </w:tc>
        <w:tc>
          <w:tcPr>
            <w:tcW w:w="1276" w:type="dxa"/>
          </w:tcPr>
          <w:p w14:paraId="386C000C" w14:textId="1DF9A4EC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4,063 </w:t>
            </w:r>
          </w:p>
        </w:tc>
      </w:tr>
      <w:tr w:rsidR="00C864C9" w14:paraId="2E4D7646" w14:textId="77777777" w:rsidTr="00563664">
        <w:tc>
          <w:tcPr>
            <w:tcW w:w="2376" w:type="dxa"/>
          </w:tcPr>
          <w:p w14:paraId="6473B891" w14:textId="0D38B6AC" w:rsidR="00C864C9" w:rsidRDefault="00C864C9" w:rsidP="00C864C9">
            <w:pPr>
              <w:spacing w:after="0" w:line="240" w:lineRule="auto"/>
            </w:pPr>
            <w:r w:rsidRPr="00FA283E">
              <w:t>East Geelong</w:t>
            </w:r>
          </w:p>
        </w:tc>
        <w:tc>
          <w:tcPr>
            <w:tcW w:w="1276" w:type="dxa"/>
          </w:tcPr>
          <w:p w14:paraId="467C6C24" w14:textId="53C49C28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3,125 </w:t>
            </w:r>
          </w:p>
        </w:tc>
      </w:tr>
      <w:tr w:rsidR="00C864C9" w14:paraId="02D9D403" w14:textId="77777777" w:rsidTr="00563664">
        <w:tc>
          <w:tcPr>
            <w:tcW w:w="2376" w:type="dxa"/>
          </w:tcPr>
          <w:p w14:paraId="5BCBEBBB" w14:textId="38A782CC" w:rsidR="00C864C9" w:rsidRDefault="00C864C9" w:rsidP="00C864C9">
            <w:pPr>
              <w:spacing w:after="0" w:line="240" w:lineRule="auto"/>
            </w:pPr>
            <w:r w:rsidRPr="00FA283E">
              <w:t>Fyansford</w:t>
            </w:r>
          </w:p>
        </w:tc>
        <w:tc>
          <w:tcPr>
            <w:tcW w:w="1276" w:type="dxa"/>
          </w:tcPr>
          <w:p w14:paraId="391F5A59" w14:textId="0D51A4E7" w:rsidR="00C864C9" w:rsidRDefault="00C864C9" w:rsidP="00C864C9">
            <w:pPr>
              <w:spacing w:after="0" w:line="240" w:lineRule="auto"/>
              <w:jc w:val="right"/>
            </w:pPr>
            <w:r w:rsidRPr="00FA283E">
              <w:t xml:space="preserve"> 961 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part 2)"/>
        <w:tblDescription w:val="List of localities (suburbs or towns) and the number of voters within them"/>
      </w:tblPr>
      <w:tblGrid>
        <w:gridCol w:w="2376"/>
        <w:gridCol w:w="1276"/>
      </w:tblGrid>
      <w:tr w:rsidR="00A51DFB" w14:paraId="362A230A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E515A3D" w14:textId="77777777" w:rsidR="00A51DFB" w:rsidRDefault="00A51DFB" w:rsidP="001378D6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31FF9CAB" w14:textId="77777777" w:rsidR="00A51DFB" w:rsidRDefault="00A51DFB" w:rsidP="001378D6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DF5C1E" w14:paraId="23C9F180" w14:textId="77777777" w:rsidTr="00563664">
        <w:tc>
          <w:tcPr>
            <w:tcW w:w="2376" w:type="dxa"/>
          </w:tcPr>
          <w:p w14:paraId="098F0516" w14:textId="21627D4C" w:rsidR="00DF5C1E" w:rsidRDefault="00DF5C1E" w:rsidP="00DF5C1E">
            <w:pPr>
              <w:spacing w:after="0" w:line="240" w:lineRule="auto"/>
            </w:pPr>
            <w:r w:rsidRPr="00473E6D">
              <w:t>Geelong</w:t>
            </w:r>
          </w:p>
        </w:tc>
        <w:tc>
          <w:tcPr>
            <w:tcW w:w="1276" w:type="dxa"/>
          </w:tcPr>
          <w:p w14:paraId="4EC2D749" w14:textId="5A6D803C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4,387 </w:t>
            </w:r>
          </w:p>
        </w:tc>
      </w:tr>
      <w:tr w:rsidR="00DF5C1E" w14:paraId="356D573F" w14:textId="77777777" w:rsidTr="00563664">
        <w:tc>
          <w:tcPr>
            <w:tcW w:w="2376" w:type="dxa"/>
          </w:tcPr>
          <w:p w14:paraId="15427725" w14:textId="35DD7469" w:rsidR="00DF5C1E" w:rsidRDefault="00DF5C1E" w:rsidP="00DF5C1E">
            <w:pPr>
              <w:spacing w:after="0" w:line="240" w:lineRule="auto"/>
            </w:pPr>
            <w:r w:rsidRPr="00473E6D">
              <w:t>Geelong West</w:t>
            </w:r>
          </w:p>
        </w:tc>
        <w:tc>
          <w:tcPr>
            <w:tcW w:w="1276" w:type="dxa"/>
          </w:tcPr>
          <w:p w14:paraId="31E19066" w14:textId="0BC7A83B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5,436 </w:t>
            </w:r>
          </w:p>
        </w:tc>
      </w:tr>
      <w:tr w:rsidR="00DF5C1E" w14:paraId="10D2C741" w14:textId="77777777" w:rsidTr="00563664">
        <w:tc>
          <w:tcPr>
            <w:tcW w:w="2376" w:type="dxa"/>
          </w:tcPr>
          <w:p w14:paraId="3EB8DC96" w14:textId="058D88DF" w:rsidR="00DF5C1E" w:rsidRDefault="00DF5C1E" w:rsidP="00DF5C1E">
            <w:pPr>
              <w:spacing w:after="0" w:line="240" w:lineRule="auto"/>
            </w:pPr>
            <w:r w:rsidRPr="00473E6D">
              <w:t>Grovedale</w:t>
            </w:r>
          </w:p>
        </w:tc>
        <w:tc>
          <w:tcPr>
            <w:tcW w:w="1276" w:type="dxa"/>
          </w:tcPr>
          <w:p w14:paraId="54F33205" w14:textId="21C897A6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11,273 </w:t>
            </w:r>
          </w:p>
        </w:tc>
      </w:tr>
      <w:tr w:rsidR="00DF5C1E" w14:paraId="14ED579E" w14:textId="77777777" w:rsidTr="00563664">
        <w:tc>
          <w:tcPr>
            <w:tcW w:w="2376" w:type="dxa"/>
          </w:tcPr>
          <w:p w14:paraId="0132CF80" w14:textId="276E7D78" w:rsidR="00DF5C1E" w:rsidRDefault="00DF5C1E" w:rsidP="00DF5C1E">
            <w:pPr>
              <w:spacing w:after="0" w:line="240" w:lineRule="auto"/>
            </w:pPr>
            <w:r w:rsidRPr="00473E6D">
              <w:t>Hamlyn Heights</w:t>
            </w:r>
          </w:p>
        </w:tc>
        <w:tc>
          <w:tcPr>
            <w:tcW w:w="1276" w:type="dxa"/>
          </w:tcPr>
          <w:p w14:paraId="154F0E89" w14:textId="54D026FB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4,941 </w:t>
            </w:r>
          </w:p>
        </w:tc>
      </w:tr>
      <w:tr w:rsidR="00DF5C1E" w14:paraId="48C52952" w14:textId="77777777" w:rsidTr="00563664">
        <w:tc>
          <w:tcPr>
            <w:tcW w:w="2376" w:type="dxa"/>
          </w:tcPr>
          <w:p w14:paraId="70471011" w14:textId="50744279" w:rsidR="00DF5C1E" w:rsidRDefault="00DF5C1E" w:rsidP="00DF5C1E">
            <w:pPr>
              <w:spacing w:after="0" w:line="240" w:lineRule="auto"/>
            </w:pPr>
            <w:r w:rsidRPr="00473E6D">
              <w:t>Herne Hill</w:t>
            </w:r>
          </w:p>
        </w:tc>
        <w:tc>
          <w:tcPr>
            <w:tcW w:w="1276" w:type="dxa"/>
          </w:tcPr>
          <w:p w14:paraId="71403F31" w14:textId="17270D40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2,761 </w:t>
            </w:r>
          </w:p>
        </w:tc>
      </w:tr>
      <w:tr w:rsidR="00DF5C1E" w14:paraId="69DFA4A8" w14:textId="77777777" w:rsidTr="00563664">
        <w:tc>
          <w:tcPr>
            <w:tcW w:w="2376" w:type="dxa"/>
          </w:tcPr>
          <w:p w14:paraId="4ECF05A1" w14:textId="50341C4D" w:rsidR="00DF5C1E" w:rsidRDefault="00DF5C1E" w:rsidP="00DF5C1E">
            <w:pPr>
              <w:spacing w:after="0" w:line="240" w:lineRule="auto"/>
            </w:pPr>
            <w:r w:rsidRPr="00473E6D">
              <w:t>Highton</w:t>
            </w:r>
          </w:p>
        </w:tc>
        <w:tc>
          <w:tcPr>
            <w:tcW w:w="1276" w:type="dxa"/>
          </w:tcPr>
          <w:p w14:paraId="7717DF55" w14:textId="7A2E9DD2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15,085 </w:t>
            </w:r>
          </w:p>
        </w:tc>
      </w:tr>
      <w:tr w:rsidR="00DF5C1E" w14:paraId="3A1723B0" w14:textId="77777777" w:rsidTr="00563664">
        <w:tc>
          <w:tcPr>
            <w:tcW w:w="2376" w:type="dxa"/>
          </w:tcPr>
          <w:p w14:paraId="43BCA6B6" w14:textId="6969780C" w:rsidR="00DF5C1E" w:rsidRDefault="00DF5C1E" w:rsidP="00DF5C1E">
            <w:pPr>
              <w:spacing w:after="0" w:line="240" w:lineRule="auto"/>
            </w:pPr>
            <w:r w:rsidRPr="00473E6D">
              <w:t>Indented Head</w:t>
            </w:r>
          </w:p>
        </w:tc>
        <w:tc>
          <w:tcPr>
            <w:tcW w:w="1276" w:type="dxa"/>
          </w:tcPr>
          <w:p w14:paraId="37545A40" w14:textId="0E2F60D2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2,039 </w:t>
            </w:r>
          </w:p>
        </w:tc>
      </w:tr>
      <w:tr w:rsidR="00DF5C1E" w14:paraId="266264AC" w14:textId="77777777" w:rsidTr="00563664">
        <w:tc>
          <w:tcPr>
            <w:tcW w:w="2376" w:type="dxa"/>
          </w:tcPr>
          <w:p w14:paraId="24C0F9FF" w14:textId="4AA20073" w:rsidR="00DF5C1E" w:rsidRDefault="00DF5C1E" w:rsidP="00DF5C1E">
            <w:pPr>
              <w:spacing w:after="0" w:line="240" w:lineRule="auto"/>
            </w:pPr>
            <w:r w:rsidRPr="00473E6D">
              <w:t>Lara</w:t>
            </w:r>
          </w:p>
        </w:tc>
        <w:tc>
          <w:tcPr>
            <w:tcW w:w="1276" w:type="dxa"/>
          </w:tcPr>
          <w:p w14:paraId="1A43640F" w14:textId="43F82367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13,632 </w:t>
            </w:r>
          </w:p>
        </w:tc>
      </w:tr>
      <w:tr w:rsidR="00DF5C1E" w14:paraId="0C3126BB" w14:textId="77777777" w:rsidTr="00563664">
        <w:tc>
          <w:tcPr>
            <w:tcW w:w="2376" w:type="dxa"/>
          </w:tcPr>
          <w:p w14:paraId="27BCF06E" w14:textId="21730847" w:rsidR="00DF5C1E" w:rsidRDefault="00DF5C1E" w:rsidP="00DF5C1E">
            <w:pPr>
              <w:spacing w:after="0" w:line="240" w:lineRule="auto"/>
            </w:pPr>
            <w:r w:rsidRPr="00473E6D">
              <w:t>Leopold</w:t>
            </w:r>
          </w:p>
        </w:tc>
        <w:tc>
          <w:tcPr>
            <w:tcW w:w="1276" w:type="dxa"/>
          </w:tcPr>
          <w:p w14:paraId="16606C8D" w14:textId="551147CF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10,327 </w:t>
            </w:r>
          </w:p>
        </w:tc>
      </w:tr>
      <w:tr w:rsidR="00DF5C1E" w14:paraId="595B82B5" w14:textId="77777777" w:rsidTr="00563664">
        <w:tc>
          <w:tcPr>
            <w:tcW w:w="2376" w:type="dxa"/>
          </w:tcPr>
          <w:p w14:paraId="54A78EAD" w14:textId="12FCBD00" w:rsidR="00DF5C1E" w:rsidRDefault="00DF5C1E" w:rsidP="00DF5C1E">
            <w:pPr>
              <w:spacing w:after="0" w:line="240" w:lineRule="auto"/>
            </w:pPr>
            <w:r w:rsidRPr="00473E6D">
              <w:t>Little River</w:t>
            </w:r>
          </w:p>
        </w:tc>
        <w:tc>
          <w:tcPr>
            <w:tcW w:w="1276" w:type="dxa"/>
          </w:tcPr>
          <w:p w14:paraId="3B196C46" w14:textId="04EB5297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473 </w:t>
            </w:r>
          </w:p>
        </w:tc>
      </w:tr>
      <w:tr w:rsidR="00DF5C1E" w14:paraId="6502C722" w14:textId="77777777" w:rsidTr="00563664">
        <w:tc>
          <w:tcPr>
            <w:tcW w:w="2376" w:type="dxa"/>
          </w:tcPr>
          <w:p w14:paraId="26B24C52" w14:textId="52CC1710" w:rsidR="00DF5C1E" w:rsidRDefault="00DF5C1E" w:rsidP="00DF5C1E">
            <w:pPr>
              <w:spacing w:after="0" w:line="240" w:lineRule="auto"/>
            </w:pPr>
            <w:r w:rsidRPr="00473E6D">
              <w:t>Lovely Banks</w:t>
            </w:r>
          </w:p>
        </w:tc>
        <w:tc>
          <w:tcPr>
            <w:tcW w:w="1276" w:type="dxa"/>
          </w:tcPr>
          <w:p w14:paraId="2126B537" w14:textId="7A9DA118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2,150 </w:t>
            </w:r>
          </w:p>
        </w:tc>
      </w:tr>
      <w:tr w:rsidR="00DF5C1E" w14:paraId="0B5B97DA" w14:textId="77777777" w:rsidTr="00563664">
        <w:tc>
          <w:tcPr>
            <w:tcW w:w="2376" w:type="dxa"/>
          </w:tcPr>
          <w:p w14:paraId="369E607C" w14:textId="0C39FF39" w:rsidR="00DF5C1E" w:rsidRDefault="00DF5C1E" w:rsidP="00DF5C1E">
            <w:pPr>
              <w:spacing w:after="0" w:line="240" w:lineRule="auto"/>
            </w:pPr>
            <w:r w:rsidRPr="00473E6D">
              <w:t>Manifold Heights</w:t>
            </w:r>
          </w:p>
        </w:tc>
        <w:tc>
          <w:tcPr>
            <w:tcW w:w="1276" w:type="dxa"/>
          </w:tcPr>
          <w:p w14:paraId="74E8358F" w14:textId="2800D798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1,991 </w:t>
            </w:r>
          </w:p>
        </w:tc>
      </w:tr>
      <w:tr w:rsidR="00DF5C1E" w14:paraId="5F3DB04D" w14:textId="77777777" w:rsidTr="00563664">
        <w:tc>
          <w:tcPr>
            <w:tcW w:w="2376" w:type="dxa"/>
          </w:tcPr>
          <w:p w14:paraId="53DD450F" w14:textId="435BAA4D" w:rsidR="00DF5C1E" w:rsidRDefault="00DF5C1E" w:rsidP="00DF5C1E">
            <w:pPr>
              <w:spacing w:after="0" w:line="240" w:lineRule="auto"/>
            </w:pPr>
            <w:r w:rsidRPr="00473E6D">
              <w:t>Mannerim</w:t>
            </w:r>
          </w:p>
        </w:tc>
        <w:tc>
          <w:tcPr>
            <w:tcW w:w="1276" w:type="dxa"/>
          </w:tcPr>
          <w:p w14:paraId="6AAF397F" w14:textId="2EA11BC6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87 </w:t>
            </w:r>
          </w:p>
        </w:tc>
      </w:tr>
      <w:tr w:rsidR="00DF5C1E" w14:paraId="53246304" w14:textId="77777777" w:rsidTr="00563664">
        <w:tc>
          <w:tcPr>
            <w:tcW w:w="2376" w:type="dxa"/>
          </w:tcPr>
          <w:p w14:paraId="5CA15AC7" w14:textId="75B33F90" w:rsidR="00DF5C1E" w:rsidRDefault="00DF5C1E" w:rsidP="00DF5C1E">
            <w:pPr>
              <w:spacing w:after="0" w:line="240" w:lineRule="auto"/>
            </w:pPr>
            <w:r w:rsidRPr="00473E6D">
              <w:t>Marcus Hill</w:t>
            </w:r>
          </w:p>
        </w:tc>
        <w:tc>
          <w:tcPr>
            <w:tcW w:w="1276" w:type="dxa"/>
          </w:tcPr>
          <w:p w14:paraId="35247835" w14:textId="789A5FD6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125 </w:t>
            </w:r>
          </w:p>
        </w:tc>
      </w:tr>
      <w:tr w:rsidR="00DF5C1E" w14:paraId="2CC99ADE" w14:textId="77777777" w:rsidTr="00563664">
        <w:tc>
          <w:tcPr>
            <w:tcW w:w="2376" w:type="dxa"/>
          </w:tcPr>
          <w:p w14:paraId="35F78185" w14:textId="555B7D91" w:rsidR="00DF5C1E" w:rsidRDefault="00DF5C1E" w:rsidP="00DF5C1E">
            <w:pPr>
              <w:spacing w:after="0" w:line="240" w:lineRule="auto"/>
            </w:pPr>
            <w:r w:rsidRPr="00473E6D">
              <w:t>Marshall</w:t>
            </w:r>
          </w:p>
        </w:tc>
        <w:tc>
          <w:tcPr>
            <w:tcW w:w="1276" w:type="dxa"/>
          </w:tcPr>
          <w:p w14:paraId="7330A8D3" w14:textId="31ED0203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1,786 </w:t>
            </w:r>
          </w:p>
        </w:tc>
      </w:tr>
      <w:tr w:rsidR="00DF5C1E" w14:paraId="698DDF53" w14:textId="77777777" w:rsidTr="00563664">
        <w:tc>
          <w:tcPr>
            <w:tcW w:w="2376" w:type="dxa"/>
          </w:tcPr>
          <w:p w14:paraId="4D4705FF" w14:textId="6C72FADD" w:rsidR="00DF5C1E" w:rsidRDefault="00DF5C1E" w:rsidP="00DF5C1E">
            <w:pPr>
              <w:spacing w:after="0" w:line="240" w:lineRule="auto"/>
            </w:pPr>
            <w:r w:rsidRPr="00473E6D">
              <w:t>Moolap</w:t>
            </w:r>
          </w:p>
        </w:tc>
        <w:tc>
          <w:tcPr>
            <w:tcW w:w="1276" w:type="dxa"/>
          </w:tcPr>
          <w:p w14:paraId="38BDEF30" w14:textId="120EDEF5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1,477 </w:t>
            </w:r>
          </w:p>
        </w:tc>
      </w:tr>
      <w:tr w:rsidR="00DF5C1E" w14:paraId="2624AD40" w14:textId="77777777" w:rsidTr="00563664">
        <w:tc>
          <w:tcPr>
            <w:tcW w:w="2376" w:type="dxa"/>
          </w:tcPr>
          <w:p w14:paraId="2C4CB780" w14:textId="5F8C1B6B" w:rsidR="00DF5C1E" w:rsidRDefault="00DF5C1E" w:rsidP="00DF5C1E">
            <w:pPr>
              <w:spacing w:after="0" w:line="240" w:lineRule="auto"/>
            </w:pPr>
            <w:r w:rsidRPr="00473E6D">
              <w:t>Moorabool</w:t>
            </w:r>
          </w:p>
        </w:tc>
        <w:tc>
          <w:tcPr>
            <w:tcW w:w="1276" w:type="dxa"/>
          </w:tcPr>
          <w:p w14:paraId="1628612D" w14:textId="1D04BD7A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74 </w:t>
            </w:r>
          </w:p>
        </w:tc>
      </w:tr>
      <w:tr w:rsidR="00DF5C1E" w14:paraId="75C42909" w14:textId="77777777" w:rsidTr="00563664">
        <w:tc>
          <w:tcPr>
            <w:tcW w:w="2376" w:type="dxa"/>
          </w:tcPr>
          <w:p w14:paraId="23A5F97E" w14:textId="59E5B07C" w:rsidR="00DF5C1E" w:rsidRDefault="00DF5C1E" w:rsidP="00DF5C1E">
            <w:pPr>
              <w:spacing w:after="0" w:line="240" w:lineRule="auto"/>
            </w:pPr>
            <w:r w:rsidRPr="00473E6D">
              <w:t>Mount Duneed</w:t>
            </w:r>
          </w:p>
        </w:tc>
        <w:tc>
          <w:tcPr>
            <w:tcW w:w="1276" w:type="dxa"/>
          </w:tcPr>
          <w:p w14:paraId="31611DE2" w14:textId="5BB0639B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4,606 </w:t>
            </w:r>
          </w:p>
        </w:tc>
      </w:tr>
      <w:tr w:rsidR="00DF5C1E" w14:paraId="724B6DD3" w14:textId="77777777" w:rsidTr="00563664">
        <w:tc>
          <w:tcPr>
            <w:tcW w:w="2376" w:type="dxa"/>
          </w:tcPr>
          <w:p w14:paraId="02BD59A9" w14:textId="18EA13FE" w:rsidR="00DF5C1E" w:rsidRDefault="00DF5C1E" w:rsidP="00DF5C1E">
            <w:pPr>
              <w:spacing w:after="0" w:line="240" w:lineRule="auto"/>
            </w:pPr>
            <w:r w:rsidRPr="00473E6D">
              <w:t>Newcomb</w:t>
            </w:r>
          </w:p>
        </w:tc>
        <w:tc>
          <w:tcPr>
            <w:tcW w:w="1276" w:type="dxa"/>
          </w:tcPr>
          <w:p w14:paraId="35254817" w14:textId="670DB337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3,717 </w:t>
            </w:r>
          </w:p>
        </w:tc>
      </w:tr>
      <w:tr w:rsidR="00DF5C1E" w14:paraId="47BDEBC6" w14:textId="77777777" w:rsidTr="00563664">
        <w:tc>
          <w:tcPr>
            <w:tcW w:w="2376" w:type="dxa"/>
          </w:tcPr>
          <w:p w14:paraId="52C135D5" w14:textId="13A12AD0" w:rsidR="00DF5C1E" w:rsidRDefault="00DF5C1E" w:rsidP="00DF5C1E">
            <w:pPr>
              <w:spacing w:after="0" w:line="240" w:lineRule="auto"/>
            </w:pPr>
            <w:r w:rsidRPr="00473E6D">
              <w:t>Newtown</w:t>
            </w:r>
          </w:p>
        </w:tc>
        <w:tc>
          <w:tcPr>
            <w:tcW w:w="1276" w:type="dxa"/>
          </w:tcPr>
          <w:p w14:paraId="593B01B9" w14:textId="28F41B45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7,740 </w:t>
            </w:r>
          </w:p>
        </w:tc>
      </w:tr>
      <w:tr w:rsidR="00DF5C1E" w14:paraId="4E527047" w14:textId="77777777" w:rsidTr="00563664">
        <w:tc>
          <w:tcPr>
            <w:tcW w:w="2376" w:type="dxa"/>
          </w:tcPr>
          <w:p w14:paraId="5C0AF567" w14:textId="37C6F843" w:rsidR="00DF5C1E" w:rsidRDefault="00DF5C1E" w:rsidP="00DF5C1E">
            <w:pPr>
              <w:spacing w:after="0" w:line="240" w:lineRule="auto"/>
            </w:pPr>
            <w:r w:rsidRPr="00473E6D">
              <w:t>Norlane</w:t>
            </w:r>
          </w:p>
        </w:tc>
        <w:tc>
          <w:tcPr>
            <w:tcW w:w="1276" w:type="dxa"/>
          </w:tcPr>
          <w:p w14:paraId="2B754E88" w14:textId="672F0624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6,251 </w:t>
            </w:r>
          </w:p>
        </w:tc>
      </w:tr>
      <w:tr w:rsidR="00DF5C1E" w14:paraId="5F06709D" w14:textId="77777777" w:rsidTr="00563664">
        <w:tc>
          <w:tcPr>
            <w:tcW w:w="2376" w:type="dxa"/>
          </w:tcPr>
          <w:p w14:paraId="4BAA2876" w14:textId="120B9130" w:rsidR="00DF5C1E" w:rsidRDefault="00DF5C1E" w:rsidP="00DF5C1E">
            <w:pPr>
              <w:spacing w:after="0" w:line="240" w:lineRule="auto"/>
            </w:pPr>
            <w:r w:rsidRPr="00473E6D">
              <w:t>North Geelong</w:t>
            </w:r>
          </w:p>
        </w:tc>
        <w:tc>
          <w:tcPr>
            <w:tcW w:w="1276" w:type="dxa"/>
          </w:tcPr>
          <w:p w14:paraId="59DF1A72" w14:textId="60CD8673" w:rsidR="00DF5C1E" w:rsidRDefault="00DF5C1E" w:rsidP="00DF5C1E">
            <w:pPr>
              <w:spacing w:after="0" w:line="240" w:lineRule="auto"/>
              <w:jc w:val="right"/>
            </w:pPr>
            <w:r w:rsidRPr="00473E6D">
              <w:t xml:space="preserve"> 2,188 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part 3)"/>
        <w:tblDescription w:val="List of localities (suburbs or towns) and the number of voters within them. "/>
      </w:tblPr>
      <w:tblGrid>
        <w:gridCol w:w="2376"/>
        <w:gridCol w:w="1276"/>
      </w:tblGrid>
      <w:tr w:rsidR="00A51DFB" w14:paraId="4924AA30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6811A0C1" w14:textId="77777777" w:rsidR="00A51DFB" w:rsidRDefault="00A51DFB" w:rsidP="001378D6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0750FDC9" w14:textId="77777777" w:rsidR="00A51DFB" w:rsidRDefault="00A51DFB" w:rsidP="001378D6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DF5C1E" w14:paraId="7A30BE3D" w14:textId="77777777" w:rsidTr="00563664">
        <w:tc>
          <w:tcPr>
            <w:tcW w:w="2376" w:type="dxa"/>
          </w:tcPr>
          <w:p w14:paraId="1EA1C6AF" w14:textId="459977F2" w:rsidR="00DF5C1E" w:rsidRDefault="00DF5C1E" w:rsidP="00DF5C1E">
            <w:pPr>
              <w:spacing w:after="0" w:line="240" w:lineRule="auto"/>
            </w:pPr>
            <w:r w:rsidRPr="004B0F8C">
              <w:t>North Shore</w:t>
            </w:r>
          </w:p>
        </w:tc>
        <w:tc>
          <w:tcPr>
            <w:tcW w:w="1276" w:type="dxa"/>
          </w:tcPr>
          <w:p w14:paraId="3F4FF9D9" w14:textId="2B9B4C2B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275 </w:t>
            </w:r>
          </w:p>
        </w:tc>
      </w:tr>
      <w:tr w:rsidR="00DF5C1E" w14:paraId="360223F8" w14:textId="77777777" w:rsidTr="00563664">
        <w:tc>
          <w:tcPr>
            <w:tcW w:w="2376" w:type="dxa"/>
          </w:tcPr>
          <w:p w14:paraId="3AFF2425" w14:textId="7FC5CB82" w:rsidR="00DF5C1E" w:rsidRDefault="00DF5C1E" w:rsidP="00DF5C1E">
            <w:pPr>
              <w:spacing w:after="0" w:line="240" w:lineRule="auto"/>
            </w:pPr>
            <w:r w:rsidRPr="004B0F8C">
              <w:t>Ocean Grove</w:t>
            </w:r>
          </w:p>
        </w:tc>
        <w:tc>
          <w:tcPr>
            <w:tcW w:w="1276" w:type="dxa"/>
          </w:tcPr>
          <w:p w14:paraId="691A6E30" w14:textId="621D3BC7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15,428 </w:t>
            </w:r>
          </w:p>
        </w:tc>
      </w:tr>
      <w:tr w:rsidR="00DF5C1E" w14:paraId="4DC0C7DE" w14:textId="77777777" w:rsidTr="00563664">
        <w:tc>
          <w:tcPr>
            <w:tcW w:w="2376" w:type="dxa"/>
          </w:tcPr>
          <w:p w14:paraId="0B2AB697" w14:textId="168B1D62" w:rsidR="00DF5C1E" w:rsidRDefault="00DF5C1E" w:rsidP="00DF5C1E">
            <w:pPr>
              <w:spacing w:after="0" w:line="240" w:lineRule="auto"/>
            </w:pPr>
            <w:r w:rsidRPr="004B0F8C">
              <w:t>Point Lonsdale</w:t>
            </w:r>
          </w:p>
        </w:tc>
        <w:tc>
          <w:tcPr>
            <w:tcW w:w="1276" w:type="dxa"/>
          </w:tcPr>
          <w:p w14:paraId="00AB7C00" w14:textId="71F2F524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2,063 </w:t>
            </w:r>
          </w:p>
        </w:tc>
      </w:tr>
      <w:tr w:rsidR="00DF5C1E" w14:paraId="6D312C0E" w14:textId="77777777" w:rsidTr="00563664">
        <w:tc>
          <w:tcPr>
            <w:tcW w:w="2376" w:type="dxa"/>
          </w:tcPr>
          <w:p w14:paraId="77C06E81" w14:textId="10B35D4B" w:rsidR="00DF5C1E" w:rsidRDefault="00DF5C1E" w:rsidP="00DF5C1E">
            <w:pPr>
              <w:spacing w:after="0" w:line="240" w:lineRule="auto"/>
            </w:pPr>
            <w:r w:rsidRPr="004B0F8C">
              <w:t>Point Wilson</w:t>
            </w:r>
          </w:p>
        </w:tc>
        <w:tc>
          <w:tcPr>
            <w:tcW w:w="1276" w:type="dxa"/>
          </w:tcPr>
          <w:p w14:paraId="2C5C54E2" w14:textId="4C0EB96C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2 </w:t>
            </w:r>
          </w:p>
        </w:tc>
      </w:tr>
      <w:tr w:rsidR="00DF5C1E" w14:paraId="676E040F" w14:textId="77777777" w:rsidTr="00563664">
        <w:tc>
          <w:tcPr>
            <w:tcW w:w="2376" w:type="dxa"/>
          </w:tcPr>
          <w:p w14:paraId="1273F9A5" w14:textId="6BEC4065" w:rsidR="00DF5C1E" w:rsidRDefault="00DF5C1E" w:rsidP="00DF5C1E">
            <w:pPr>
              <w:spacing w:after="0" w:line="240" w:lineRule="auto"/>
            </w:pPr>
            <w:r w:rsidRPr="004B0F8C">
              <w:t>Portarlington</w:t>
            </w:r>
          </w:p>
        </w:tc>
        <w:tc>
          <w:tcPr>
            <w:tcW w:w="1276" w:type="dxa"/>
          </w:tcPr>
          <w:p w14:paraId="063CD96E" w14:textId="616F4C90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5,109 </w:t>
            </w:r>
          </w:p>
        </w:tc>
      </w:tr>
      <w:tr w:rsidR="00DF5C1E" w14:paraId="269D40C7" w14:textId="77777777" w:rsidTr="00563664">
        <w:tc>
          <w:tcPr>
            <w:tcW w:w="2376" w:type="dxa"/>
          </w:tcPr>
          <w:p w14:paraId="029EAF03" w14:textId="05D9237B" w:rsidR="00DF5C1E" w:rsidRDefault="00DF5C1E" w:rsidP="00DF5C1E">
            <w:pPr>
              <w:spacing w:after="0" w:line="240" w:lineRule="auto"/>
            </w:pPr>
            <w:r w:rsidRPr="004B0F8C">
              <w:t>Rippleside</w:t>
            </w:r>
          </w:p>
        </w:tc>
        <w:tc>
          <w:tcPr>
            <w:tcW w:w="1276" w:type="dxa"/>
          </w:tcPr>
          <w:p w14:paraId="1CACA75C" w14:textId="7632E020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808 </w:t>
            </w:r>
          </w:p>
        </w:tc>
      </w:tr>
      <w:tr w:rsidR="00DF5C1E" w14:paraId="0E65B2D9" w14:textId="77777777" w:rsidTr="00563664">
        <w:tc>
          <w:tcPr>
            <w:tcW w:w="2376" w:type="dxa"/>
          </w:tcPr>
          <w:p w14:paraId="79CAE04A" w14:textId="18CD1F8B" w:rsidR="00DF5C1E" w:rsidRDefault="00DF5C1E" w:rsidP="00DF5C1E">
            <w:pPr>
              <w:spacing w:after="0" w:line="240" w:lineRule="auto"/>
            </w:pPr>
            <w:r w:rsidRPr="004B0F8C">
              <w:t>South Geelong</w:t>
            </w:r>
          </w:p>
        </w:tc>
        <w:tc>
          <w:tcPr>
            <w:tcW w:w="1276" w:type="dxa"/>
          </w:tcPr>
          <w:p w14:paraId="770B7A74" w14:textId="103FCAFA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820 </w:t>
            </w:r>
          </w:p>
        </w:tc>
      </w:tr>
      <w:tr w:rsidR="00DF5C1E" w14:paraId="03E6A74F" w14:textId="77777777" w:rsidTr="00563664">
        <w:tc>
          <w:tcPr>
            <w:tcW w:w="2376" w:type="dxa"/>
          </w:tcPr>
          <w:p w14:paraId="6E8AE84D" w14:textId="7A5A8420" w:rsidR="00DF5C1E" w:rsidRDefault="00DF5C1E" w:rsidP="00DF5C1E">
            <w:pPr>
              <w:spacing w:after="0" w:line="240" w:lineRule="auto"/>
            </w:pPr>
            <w:r w:rsidRPr="004B0F8C">
              <w:t>St Albans Park</w:t>
            </w:r>
          </w:p>
        </w:tc>
        <w:tc>
          <w:tcPr>
            <w:tcW w:w="1276" w:type="dxa"/>
          </w:tcPr>
          <w:p w14:paraId="61FEB806" w14:textId="7D8BBF60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3,970 </w:t>
            </w:r>
          </w:p>
        </w:tc>
      </w:tr>
      <w:tr w:rsidR="00DF5C1E" w14:paraId="39610510" w14:textId="77777777" w:rsidTr="00563664">
        <w:tc>
          <w:tcPr>
            <w:tcW w:w="2376" w:type="dxa"/>
          </w:tcPr>
          <w:p w14:paraId="42AD2F1B" w14:textId="7539BA89" w:rsidR="00DF5C1E" w:rsidRDefault="00DF5C1E" w:rsidP="00DF5C1E">
            <w:pPr>
              <w:spacing w:after="0" w:line="240" w:lineRule="auto"/>
            </w:pPr>
            <w:r w:rsidRPr="004B0F8C">
              <w:t>St Leonards</w:t>
            </w:r>
          </w:p>
        </w:tc>
        <w:tc>
          <w:tcPr>
            <w:tcW w:w="1276" w:type="dxa"/>
          </w:tcPr>
          <w:p w14:paraId="08F4FB80" w14:textId="42B612EE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4,938 </w:t>
            </w:r>
          </w:p>
        </w:tc>
      </w:tr>
      <w:tr w:rsidR="00DF5C1E" w14:paraId="73FE103E" w14:textId="77777777" w:rsidTr="00563664">
        <w:tc>
          <w:tcPr>
            <w:tcW w:w="2376" w:type="dxa"/>
          </w:tcPr>
          <w:p w14:paraId="5A0C0D0E" w14:textId="5E01035C" w:rsidR="00DF5C1E" w:rsidRDefault="00DF5C1E" w:rsidP="00DF5C1E">
            <w:pPr>
              <w:spacing w:after="0" w:line="240" w:lineRule="auto"/>
            </w:pPr>
            <w:r w:rsidRPr="004B0F8C">
              <w:t>Staughton Vale</w:t>
            </w:r>
          </w:p>
        </w:tc>
        <w:tc>
          <w:tcPr>
            <w:tcW w:w="1276" w:type="dxa"/>
          </w:tcPr>
          <w:p w14:paraId="1B5DAE8D" w14:textId="67EAC486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79 </w:t>
            </w:r>
          </w:p>
        </w:tc>
      </w:tr>
      <w:tr w:rsidR="00DF5C1E" w14:paraId="3C17782D" w14:textId="77777777" w:rsidTr="00563664">
        <w:tc>
          <w:tcPr>
            <w:tcW w:w="2376" w:type="dxa"/>
          </w:tcPr>
          <w:p w14:paraId="74C1FD20" w14:textId="34823C4C" w:rsidR="00DF5C1E" w:rsidRDefault="00DF5C1E" w:rsidP="00DF5C1E">
            <w:pPr>
              <w:spacing w:after="0" w:line="240" w:lineRule="auto"/>
            </w:pPr>
            <w:r w:rsidRPr="004B0F8C">
              <w:t>Swan Bay</w:t>
            </w:r>
          </w:p>
        </w:tc>
        <w:tc>
          <w:tcPr>
            <w:tcW w:w="1276" w:type="dxa"/>
          </w:tcPr>
          <w:p w14:paraId="5118B653" w14:textId="034FED81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84 </w:t>
            </w:r>
          </w:p>
        </w:tc>
      </w:tr>
      <w:tr w:rsidR="00DF5C1E" w14:paraId="329E5F6F" w14:textId="77777777" w:rsidTr="00563664">
        <w:tc>
          <w:tcPr>
            <w:tcW w:w="2376" w:type="dxa"/>
          </w:tcPr>
          <w:p w14:paraId="6B6A3102" w14:textId="2C5722B0" w:rsidR="00DF5C1E" w:rsidRDefault="00DF5C1E" w:rsidP="00DF5C1E">
            <w:pPr>
              <w:spacing w:after="0" w:line="240" w:lineRule="auto"/>
            </w:pPr>
            <w:r w:rsidRPr="004B0F8C">
              <w:t>Thomson</w:t>
            </w:r>
          </w:p>
        </w:tc>
        <w:tc>
          <w:tcPr>
            <w:tcW w:w="1276" w:type="dxa"/>
          </w:tcPr>
          <w:p w14:paraId="63E711AF" w14:textId="25DA95F4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1,329 </w:t>
            </w:r>
          </w:p>
        </w:tc>
      </w:tr>
      <w:tr w:rsidR="00DF5C1E" w14:paraId="5A5F019E" w14:textId="77777777" w:rsidTr="00563664">
        <w:tc>
          <w:tcPr>
            <w:tcW w:w="2376" w:type="dxa"/>
          </w:tcPr>
          <w:p w14:paraId="00BFFEA5" w14:textId="4DB77E38" w:rsidR="00DF5C1E" w:rsidRDefault="00DF5C1E" w:rsidP="00DF5C1E">
            <w:pPr>
              <w:spacing w:after="0" w:line="240" w:lineRule="auto"/>
            </w:pPr>
            <w:r w:rsidRPr="004B0F8C">
              <w:t>Wallington</w:t>
            </w:r>
          </w:p>
        </w:tc>
        <w:tc>
          <w:tcPr>
            <w:tcW w:w="1276" w:type="dxa"/>
          </w:tcPr>
          <w:p w14:paraId="6098A0D5" w14:textId="1371F640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1,047 </w:t>
            </w:r>
          </w:p>
        </w:tc>
      </w:tr>
      <w:tr w:rsidR="00DF5C1E" w14:paraId="4F7F8110" w14:textId="77777777" w:rsidTr="00563664">
        <w:tc>
          <w:tcPr>
            <w:tcW w:w="2376" w:type="dxa"/>
          </w:tcPr>
          <w:p w14:paraId="39F385C6" w14:textId="1600A8CE" w:rsidR="00DF5C1E" w:rsidRDefault="00DF5C1E" w:rsidP="00DF5C1E">
            <w:pPr>
              <w:spacing w:after="0" w:line="240" w:lineRule="auto"/>
            </w:pPr>
            <w:r w:rsidRPr="004B0F8C">
              <w:t>Wandana Heights</w:t>
            </w:r>
          </w:p>
        </w:tc>
        <w:tc>
          <w:tcPr>
            <w:tcW w:w="1276" w:type="dxa"/>
          </w:tcPr>
          <w:p w14:paraId="4E5FE275" w14:textId="3258991D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1,774 </w:t>
            </w:r>
          </w:p>
        </w:tc>
      </w:tr>
      <w:tr w:rsidR="00DF5C1E" w14:paraId="13BB4576" w14:textId="77777777" w:rsidTr="00563664">
        <w:tc>
          <w:tcPr>
            <w:tcW w:w="2376" w:type="dxa"/>
          </w:tcPr>
          <w:p w14:paraId="741FE976" w14:textId="0BF6C2CF" w:rsidR="00DF5C1E" w:rsidRDefault="00DF5C1E" w:rsidP="00DF5C1E">
            <w:pPr>
              <w:spacing w:after="0" w:line="240" w:lineRule="auto"/>
            </w:pPr>
            <w:r w:rsidRPr="004B0F8C">
              <w:t>Waurn Ponds</w:t>
            </w:r>
          </w:p>
        </w:tc>
        <w:tc>
          <w:tcPr>
            <w:tcW w:w="1276" w:type="dxa"/>
          </w:tcPr>
          <w:p w14:paraId="074C4337" w14:textId="149C2770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3,158 </w:t>
            </w:r>
          </w:p>
        </w:tc>
      </w:tr>
      <w:tr w:rsidR="00DF5C1E" w14:paraId="14537BD1" w14:textId="77777777" w:rsidTr="00563664">
        <w:tc>
          <w:tcPr>
            <w:tcW w:w="2376" w:type="dxa"/>
          </w:tcPr>
          <w:p w14:paraId="09CDE178" w14:textId="45A1BBEB" w:rsidR="00DF5C1E" w:rsidRDefault="00DF5C1E" w:rsidP="00DF5C1E">
            <w:pPr>
              <w:spacing w:after="0" w:line="240" w:lineRule="auto"/>
            </w:pPr>
            <w:r w:rsidRPr="004B0F8C">
              <w:t>Whittington</w:t>
            </w:r>
          </w:p>
        </w:tc>
        <w:tc>
          <w:tcPr>
            <w:tcW w:w="1276" w:type="dxa"/>
          </w:tcPr>
          <w:p w14:paraId="3A4F6E9E" w14:textId="68B3041B" w:rsidR="00DF5C1E" w:rsidRDefault="00DF5C1E" w:rsidP="00DF5C1E">
            <w:pPr>
              <w:spacing w:after="0" w:line="240" w:lineRule="auto"/>
              <w:jc w:val="right"/>
            </w:pPr>
            <w:r w:rsidRPr="004B0F8C">
              <w:t xml:space="preserve"> 2,983 </w:t>
            </w:r>
          </w:p>
        </w:tc>
      </w:tr>
    </w:tbl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1C31" w14:textId="77777777" w:rsidR="001C22A6" w:rsidRDefault="001C22A6" w:rsidP="00665F91">
      <w:r>
        <w:separator/>
      </w:r>
    </w:p>
  </w:endnote>
  <w:endnote w:type="continuationSeparator" w:id="0">
    <w:p w14:paraId="76494C4F" w14:textId="77777777" w:rsidR="001C22A6" w:rsidRDefault="001C22A6" w:rsidP="00665F91">
      <w:r>
        <w:continuationSeparator/>
      </w:r>
    </w:p>
  </w:endnote>
  <w:endnote w:type="continuationNotice" w:id="1">
    <w:p w14:paraId="500FC2CA" w14:textId="77777777" w:rsidR="001C22A6" w:rsidRDefault="001C2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88B9" w14:textId="77777777" w:rsidR="000E1FA2" w:rsidRDefault="000E1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r w:rsidR="000E1FA2">
      <w:fldChar w:fldCharType="begin"/>
    </w:r>
    <w:r w:rsidR="000E1FA2">
      <w:instrText xml:space="preserve"> NUMPAGES  \* Arabic  \* MERGEFORMAT </w:instrText>
    </w:r>
    <w:r w:rsidR="000E1FA2">
      <w:fldChar w:fldCharType="separate"/>
    </w:r>
    <w:r w:rsidR="00215B1D">
      <w:t>5</w:t>
    </w:r>
    <w:r w:rsidR="000E1F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1ED1" w14:textId="77777777" w:rsidR="000E1FA2" w:rsidRDefault="000E1F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0E1FA2">
      <w:fldChar w:fldCharType="begin"/>
    </w:r>
    <w:r w:rsidR="000E1FA2">
      <w:instrText xml:space="preserve"> NUMPAGES  \* Arabic  \* MERGEFORMAT </w:instrText>
    </w:r>
    <w:r w:rsidR="000E1FA2">
      <w:fldChar w:fldCharType="separate"/>
    </w:r>
    <w:r>
      <w:t>5</w:t>
    </w:r>
    <w:r w:rsidR="000E1F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16E3B" w14:textId="77777777" w:rsidR="001C22A6" w:rsidRDefault="001C22A6" w:rsidP="00665F91">
      <w:r>
        <w:separator/>
      </w:r>
    </w:p>
  </w:footnote>
  <w:footnote w:type="continuationSeparator" w:id="0">
    <w:p w14:paraId="7C824D4D" w14:textId="77777777" w:rsidR="001C22A6" w:rsidRDefault="001C22A6" w:rsidP="00665F91">
      <w:r>
        <w:continuationSeparator/>
      </w:r>
    </w:p>
  </w:footnote>
  <w:footnote w:type="continuationNotice" w:id="1">
    <w:p w14:paraId="7C6277EE" w14:textId="77777777" w:rsidR="001C22A6" w:rsidRDefault="001C2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83F7" w14:textId="77777777" w:rsidR="000E1FA2" w:rsidRDefault="000E1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DCEB" w14:textId="77777777" w:rsidR="000E1FA2" w:rsidRDefault="000E1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98CAA" w14:textId="77777777" w:rsidR="000E1FA2" w:rsidRDefault="000E1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1728E"/>
    <w:rsid w:val="00025831"/>
    <w:rsid w:val="000273AA"/>
    <w:rsid w:val="0003782C"/>
    <w:rsid w:val="000378E4"/>
    <w:rsid w:val="00037C09"/>
    <w:rsid w:val="00042B87"/>
    <w:rsid w:val="000433C2"/>
    <w:rsid w:val="00043421"/>
    <w:rsid w:val="0004744F"/>
    <w:rsid w:val="00052A15"/>
    <w:rsid w:val="00056E06"/>
    <w:rsid w:val="00057067"/>
    <w:rsid w:val="00063928"/>
    <w:rsid w:val="00080AA4"/>
    <w:rsid w:val="00082D3B"/>
    <w:rsid w:val="00085F24"/>
    <w:rsid w:val="000867EE"/>
    <w:rsid w:val="00086A4A"/>
    <w:rsid w:val="000871A2"/>
    <w:rsid w:val="00087F91"/>
    <w:rsid w:val="00090761"/>
    <w:rsid w:val="0009344D"/>
    <w:rsid w:val="000942E6"/>
    <w:rsid w:val="00094704"/>
    <w:rsid w:val="000B2E34"/>
    <w:rsid w:val="000B56A8"/>
    <w:rsid w:val="000B5D80"/>
    <w:rsid w:val="000B7348"/>
    <w:rsid w:val="000C6586"/>
    <w:rsid w:val="000D1C44"/>
    <w:rsid w:val="000D36EC"/>
    <w:rsid w:val="000E0A4B"/>
    <w:rsid w:val="000E1FA2"/>
    <w:rsid w:val="000E3D07"/>
    <w:rsid w:val="000E5188"/>
    <w:rsid w:val="000E7203"/>
    <w:rsid w:val="000F478B"/>
    <w:rsid w:val="000F4AB5"/>
    <w:rsid w:val="000F76B6"/>
    <w:rsid w:val="00103E6E"/>
    <w:rsid w:val="001207C8"/>
    <w:rsid w:val="00121C83"/>
    <w:rsid w:val="00122E13"/>
    <w:rsid w:val="00130970"/>
    <w:rsid w:val="00132435"/>
    <w:rsid w:val="00132DC6"/>
    <w:rsid w:val="0013367A"/>
    <w:rsid w:val="0013611A"/>
    <w:rsid w:val="00136884"/>
    <w:rsid w:val="001378D6"/>
    <w:rsid w:val="00140337"/>
    <w:rsid w:val="00147658"/>
    <w:rsid w:val="001557DA"/>
    <w:rsid w:val="00157E83"/>
    <w:rsid w:val="001634B5"/>
    <w:rsid w:val="00167775"/>
    <w:rsid w:val="00173C8A"/>
    <w:rsid w:val="001773CC"/>
    <w:rsid w:val="001808F0"/>
    <w:rsid w:val="0018477B"/>
    <w:rsid w:val="00186597"/>
    <w:rsid w:val="00187785"/>
    <w:rsid w:val="00191176"/>
    <w:rsid w:val="00191BE3"/>
    <w:rsid w:val="001957B1"/>
    <w:rsid w:val="00195FA2"/>
    <w:rsid w:val="001A00BE"/>
    <w:rsid w:val="001A1B9E"/>
    <w:rsid w:val="001A2C88"/>
    <w:rsid w:val="001A500D"/>
    <w:rsid w:val="001A6F98"/>
    <w:rsid w:val="001B14C0"/>
    <w:rsid w:val="001B6733"/>
    <w:rsid w:val="001B69EB"/>
    <w:rsid w:val="001C0183"/>
    <w:rsid w:val="001C22A6"/>
    <w:rsid w:val="001C2597"/>
    <w:rsid w:val="001D6FBC"/>
    <w:rsid w:val="001D76F2"/>
    <w:rsid w:val="001D7FDE"/>
    <w:rsid w:val="001E0052"/>
    <w:rsid w:val="001E0C71"/>
    <w:rsid w:val="001E56BE"/>
    <w:rsid w:val="001E6B21"/>
    <w:rsid w:val="001F2312"/>
    <w:rsid w:val="001F2777"/>
    <w:rsid w:val="001F32B9"/>
    <w:rsid w:val="001F4A4A"/>
    <w:rsid w:val="001F7026"/>
    <w:rsid w:val="0020046C"/>
    <w:rsid w:val="00202E3A"/>
    <w:rsid w:val="002109AD"/>
    <w:rsid w:val="00214AE7"/>
    <w:rsid w:val="00215B1D"/>
    <w:rsid w:val="00227530"/>
    <w:rsid w:val="00231651"/>
    <w:rsid w:val="00234645"/>
    <w:rsid w:val="002507C5"/>
    <w:rsid w:val="0025212F"/>
    <w:rsid w:val="002528BB"/>
    <w:rsid w:val="00254A13"/>
    <w:rsid w:val="00257321"/>
    <w:rsid w:val="0026053F"/>
    <w:rsid w:val="00260EF6"/>
    <w:rsid w:val="0026150E"/>
    <w:rsid w:val="00262368"/>
    <w:rsid w:val="0026767F"/>
    <w:rsid w:val="00270AC7"/>
    <w:rsid w:val="00274C20"/>
    <w:rsid w:val="00274D03"/>
    <w:rsid w:val="00276F4D"/>
    <w:rsid w:val="0027708F"/>
    <w:rsid w:val="002779D5"/>
    <w:rsid w:val="00280596"/>
    <w:rsid w:val="002821A3"/>
    <w:rsid w:val="00290E67"/>
    <w:rsid w:val="002941A0"/>
    <w:rsid w:val="002A11CD"/>
    <w:rsid w:val="002A763F"/>
    <w:rsid w:val="002B2829"/>
    <w:rsid w:val="002B2DDA"/>
    <w:rsid w:val="002C155C"/>
    <w:rsid w:val="002C3FB1"/>
    <w:rsid w:val="002C6760"/>
    <w:rsid w:val="002D55D8"/>
    <w:rsid w:val="002E3548"/>
    <w:rsid w:val="002F0E2A"/>
    <w:rsid w:val="002F4763"/>
    <w:rsid w:val="002F4C8A"/>
    <w:rsid w:val="002F5061"/>
    <w:rsid w:val="003010E9"/>
    <w:rsid w:val="003011AE"/>
    <w:rsid w:val="00303185"/>
    <w:rsid w:val="003033FC"/>
    <w:rsid w:val="00306648"/>
    <w:rsid w:val="0031024F"/>
    <w:rsid w:val="00312E4E"/>
    <w:rsid w:val="00315C79"/>
    <w:rsid w:val="0032506E"/>
    <w:rsid w:val="00330F62"/>
    <w:rsid w:val="00332815"/>
    <w:rsid w:val="00337881"/>
    <w:rsid w:val="0034417D"/>
    <w:rsid w:val="00344E9F"/>
    <w:rsid w:val="00346DC2"/>
    <w:rsid w:val="00346EB2"/>
    <w:rsid w:val="00357BE0"/>
    <w:rsid w:val="00361394"/>
    <w:rsid w:val="003629AD"/>
    <w:rsid w:val="00370349"/>
    <w:rsid w:val="0037172A"/>
    <w:rsid w:val="00373075"/>
    <w:rsid w:val="003730AE"/>
    <w:rsid w:val="00384416"/>
    <w:rsid w:val="003859CB"/>
    <w:rsid w:val="00385E80"/>
    <w:rsid w:val="003919D5"/>
    <w:rsid w:val="00392C32"/>
    <w:rsid w:val="00393E75"/>
    <w:rsid w:val="003A046E"/>
    <w:rsid w:val="003A14C0"/>
    <w:rsid w:val="003A774E"/>
    <w:rsid w:val="003B2DF8"/>
    <w:rsid w:val="003B39C6"/>
    <w:rsid w:val="003C13AC"/>
    <w:rsid w:val="003C4B77"/>
    <w:rsid w:val="003C7953"/>
    <w:rsid w:val="003D053D"/>
    <w:rsid w:val="003D10A3"/>
    <w:rsid w:val="003D15C1"/>
    <w:rsid w:val="003D2EEF"/>
    <w:rsid w:val="003D6EA6"/>
    <w:rsid w:val="003D70B1"/>
    <w:rsid w:val="003E2E16"/>
    <w:rsid w:val="003F1E90"/>
    <w:rsid w:val="003F6FEC"/>
    <w:rsid w:val="004051A1"/>
    <w:rsid w:val="00405C5B"/>
    <w:rsid w:val="00405D67"/>
    <w:rsid w:val="00407988"/>
    <w:rsid w:val="00410B7F"/>
    <w:rsid w:val="00412438"/>
    <w:rsid w:val="00417353"/>
    <w:rsid w:val="004223C4"/>
    <w:rsid w:val="00423446"/>
    <w:rsid w:val="00423927"/>
    <w:rsid w:val="00431CB7"/>
    <w:rsid w:val="004372C9"/>
    <w:rsid w:val="004416AD"/>
    <w:rsid w:val="00441B68"/>
    <w:rsid w:val="00442535"/>
    <w:rsid w:val="0045156E"/>
    <w:rsid w:val="00455865"/>
    <w:rsid w:val="00463A44"/>
    <w:rsid w:val="00464EB3"/>
    <w:rsid w:val="004679DA"/>
    <w:rsid w:val="0047242A"/>
    <w:rsid w:val="0047264A"/>
    <w:rsid w:val="004731E0"/>
    <w:rsid w:val="00473C80"/>
    <w:rsid w:val="00476C62"/>
    <w:rsid w:val="00483DC5"/>
    <w:rsid w:val="004855CE"/>
    <w:rsid w:val="00493417"/>
    <w:rsid w:val="004959A8"/>
    <w:rsid w:val="0049764B"/>
    <w:rsid w:val="004A0EEE"/>
    <w:rsid w:val="004A7F31"/>
    <w:rsid w:val="004B0370"/>
    <w:rsid w:val="004B12CB"/>
    <w:rsid w:val="004B20C0"/>
    <w:rsid w:val="004B309B"/>
    <w:rsid w:val="004B4AC2"/>
    <w:rsid w:val="004B5883"/>
    <w:rsid w:val="004B5905"/>
    <w:rsid w:val="004B7D1A"/>
    <w:rsid w:val="004C007E"/>
    <w:rsid w:val="004C1507"/>
    <w:rsid w:val="004C2284"/>
    <w:rsid w:val="004C6A7B"/>
    <w:rsid w:val="004C6E04"/>
    <w:rsid w:val="004D1C77"/>
    <w:rsid w:val="004D2588"/>
    <w:rsid w:val="004D5511"/>
    <w:rsid w:val="004D621B"/>
    <w:rsid w:val="004D77C6"/>
    <w:rsid w:val="004E3072"/>
    <w:rsid w:val="004E3ECD"/>
    <w:rsid w:val="004E5E6C"/>
    <w:rsid w:val="004F0EAE"/>
    <w:rsid w:val="004F27D6"/>
    <w:rsid w:val="005036FB"/>
    <w:rsid w:val="0050595E"/>
    <w:rsid w:val="00505AB8"/>
    <w:rsid w:val="00506059"/>
    <w:rsid w:val="00510DB6"/>
    <w:rsid w:val="005118F9"/>
    <w:rsid w:val="0051594E"/>
    <w:rsid w:val="0051766D"/>
    <w:rsid w:val="005270AD"/>
    <w:rsid w:val="00530049"/>
    <w:rsid w:val="00530ECB"/>
    <w:rsid w:val="00532EEA"/>
    <w:rsid w:val="00533759"/>
    <w:rsid w:val="00536B37"/>
    <w:rsid w:val="00536B67"/>
    <w:rsid w:val="005370FA"/>
    <w:rsid w:val="005371B2"/>
    <w:rsid w:val="005400F6"/>
    <w:rsid w:val="005410AC"/>
    <w:rsid w:val="00541A64"/>
    <w:rsid w:val="00543679"/>
    <w:rsid w:val="00543739"/>
    <w:rsid w:val="00543804"/>
    <w:rsid w:val="00543996"/>
    <w:rsid w:val="0054466B"/>
    <w:rsid w:val="0055062E"/>
    <w:rsid w:val="00550C1A"/>
    <w:rsid w:val="0055232C"/>
    <w:rsid w:val="00554EE4"/>
    <w:rsid w:val="00555802"/>
    <w:rsid w:val="0055608C"/>
    <w:rsid w:val="00560DDF"/>
    <w:rsid w:val="00563664"/>
    <w:rsid w:val="00563B29"/>
    <w:rsid w:val="00564867"/>
    <w:rsid w:val="00566206"/>
    <w:rsid w:val="00566D50"/>
    <w:rsid w:val="00567FDF"/>
    <w:rsid w:val="0057298A"/>
    <w:rsid w:val="00573BF1"/>
    <w:rsid w:val="00574100"/>
    <w:rsid w:val="0057797B"/>
    <w:rsid w:val="00583038"/>
    <w:rsid w:val="0058340C"/>
    <w:rsid w:val="0058388E"/>
    <w:rsid w:val="00584366"/>
    <w:rsid w:val="00587028"/>
    <w:rsid w:val="005878BD"/>
    <w:rsid w:val="0059213D"/>
    <w:rsid w:val="005972C6"/>
    <w:rsid w:val="00597650"/>
    <w:rsid w:val="005A3FC0"/>
    <w:rsid w:val="005A5824"/>
    <w:rsid w:val="005A7A95"/>
    <w:rsid w:val="005B02D2"/>
    <w:rsid w:val="005B090D"/>
    <w:rsid w:val="005B1E29"/>
    <w:rsid w:val="005B4AD6"/>
    <w:rsid w:val="005C17A7"/>
    <w:rsid w:val="005C37D2"/>
    <w:rsid w:val="005D0CF9"/>
    <w:rsid w:val="005D3F85"/>
    <w:rsid w:val="005D6C63"/>
    <w:rsid w:val="005D7D2F"/>
    <w:rsid w:val="005E13CA"/>
    <w:rsid w:val="005E26DC"/>
    <w:rsid w:val="005E451C"/>
    <w:rsid w:val="005E5981"/>
    <w:rsid w:val="005E5DB0"/>
    <w:rsid w:val="005E6792"/>
    <w:rsid w:val="005F0ABA"/>
    <w:rsid w:val="005F2AFB"/>
    <w:rsid w:val="005F33F3"/>
    <w:rsid w:val="005F51B1"/>
    <w:rsid w:val="006022A3"/>
    <w:rsid w:val="00603257"/>
    <w:rsid w:val="00603AE2"/>
    <w:rsid w:val="00603BF2"/>
    <w:rsid w:val="006062FF"/>
    <w:rsid w:val="00610697"/>
    <w:rsid w:val="00611B6F"/>
    <w:rsid w:val="006129A4"/>
    <w:rsid w:val="00613695"/>
    <w:rsid w:val="00617C7B"/>
    <w:rsid w:val="00621816"/>
    <w:rsid w:val="00621DEA"/>
    <w:rsid w:val="00624DB8"/>
    <w:rsid w:val="006323DA"/>
    <w:rsid w:val="00632669"/>
    <w:rsid w:val="00633318"/>
    <w:rsid w:val="00633739"/>
    <w:rsid w:val="00634A24"/>
    <w:rsid w:val="006401E4"/>
    <w:rsid w:val="00642BEF"/>
    <w:rsid w:val="0064634A"/>
    <w:rsid w:val="00654026"/>
    <w:rsid w:val="00654EF5"/>
    <w:rsid w:val="00655B96"/>
    <w:rsid w:val="00660E21"/>
    <w:rsid w:val="00662011"/>
    <w:rsid w:val="0066304E"/>
    <w:rsid w:val="00664AEB"/>
    <w:rsid w:val="0066586A"/>
    <w:rsid w:val="00665F91"/>
    <w:rsid w:val="006675CB"/>
    <w:rsid w:val="0068056D"/>
    <w:rsid w:val="00683AB2"/>
    <w:rsid w:val="00685DBD"/>
    <w:rsid w:val="0069327C"/>
    <w:rsid w:val="006A294A"/>
    <w:rsid w:val="006A3925"/>
    <w:rsid w:val="006A4C08"/>
    <w:rsid w:val="006B2225"/>
    <w:rsid w:val="006B5323"/>
    <w:rsid w:val="006C16DF"/>
    <w:rsid w:val="006C197A"/>
    <w:rsid w:val="006C2195"/>
    <w:rsid w:val="006C2E39"/>
    <w:rsid w:val="006D5570"/>
    <w:rsid w:val="006D729D"/>
    <w:rsid w:val="006D78DC"/>
    <w:rsid w:val="006E00C1"/>
    <w:rsid w:val="006E05C4"/>
    <w:rsid w:val="006E0B63"/>
    <w:rsid w:val="006E3BC8"/>
    <w:rsid w:val="006F564E"/>
    <w:rsid w:val="00700947"/>
    <w:rsid w:val="00701247"/>
    <w:rsid w:val="00702ECF"/>
    <w:rsid w:val="007038E7"/>
    <w:rsid w:val="00704364"/>
    <w:rsid w:val="00706BAD"/>
    <w:rsid w:val="00707861"/>
    <w:rsid w:val="00713A3F"/>
    <w:rsid w:val="00714010"/>
    <w:rsid w:val="00717A44"/>
    <w:rsid w:val="00721974"/>
    <w:rsid w:val="0072203E"/>
    <w:rsid w:val="00723BFF"/>
    <w:rsid w:val="00731093"/>
    <w:rsid w:val="00733B36"/>
    <w:rsid w:val="00733E34"/>
    <w:rsid w:val="0073556F"/>
    <w:rsid w:val="00752275"/>
    <w:rsid w:val="00755912"/>
    <w:rsid w:val="00757109"/>
    <w:rsid w:val="007574A2"/>
    <w:rsid w:val="00773D07"/>
    <w:rsid w:val="007742D3"/>
    <w:rsid w:val="00782579"/>
    <w:rsid w:val="0078375C"/>
    <w:rsid w:val="007848A5"/>
    <w:rsid w:val="0078756E"/>
    <w:rsid w:val="00787A2B"/>
    <w:rsid w:val="007913FB"/>
    <w:rsid w:val="00792A4F"/>
    <w:rsid w:val="007A194C"/>
    <w:rsid w:val="007A1AB8"/>
    <w:rsid w:val="007A2315"/>
    <w:rsid w:val="007A3316"/>
    <w:rsid w:val="007A40D7"/>
    <w:rsid w:val="007A7027"/>
    <w:rsid w:val="007B71EF"/>
    <w:rsid w:val="007C1C4B"/>
    <w:rsid w:val="007C6584"/>
    <w:rsid w:val="007C7BB3"/>
    <w:rsid w:val="007D2859"/>
    <w:rsid w:val="007D38BB"/>
    <w:rsid w:val="007D4F8F"/>
    <w:rsid w:val="007D5854"/>
    <w:rsid w:val="007D6614"/>
    <w:rsid w:val="007D6A0B"/>
    <w:rsid w:val="007E1867"/>
    <w:rsid w:val="007E3730"/>
    <w:rsid w:val="007F59DB"/>
    <w:rsid w:val="008070FB"/>
    <w:rsid w:val="00807D6B"/>
    <w:rsid w:val="00810548"/>
    <w:rsid w:val="00810A08"/>
    <w:rsid w:val="008145A0"/>
    <w:rsid w:val="00817956"/>
    <w:rsid w:val="008249BD"/>
    <w:rsid w:val="00825118"/>
    <w:rsid w:val="008276F7"/>
    <w:rsid w:val="008279E5"/>
    <w:rsid w:val="00830ACF"/>
    <w:rsid w:val="0083166F"/>
    <w:rsid w:val="0083584C"/>
    <w:rsid w:val="00835898"/>
    <w:rsid w:val="00843508"/>
    <w:rsid w:val="00846705"/>
    <w:rsid w:val="00850F41"/>
    <w:rsid w:val="00852B96"/>
    <w:rsid w:val="00852DF2"/>
    <w:rsid w:val="0085407E"/>
    <w:rsid w:val="00854304"/>
    <w:rsid w:val="008619B2"/>
    <w:rsid w:val="00862776"/>
    <w:rsid w:val="00863BA9"/>
    <w:rsid w:val="0087049F"/>
    <w:rsid w:val="00871905"/>
    <w:rsid w:val="0087655E"/>
    <w:rsid w:val="00876CFA"/>
    <w:rsid w:val="008777B0"/>
    <w:rsid w:val="00877CA0"/>
    <w:rsid w:val="008818FD"/>
    <w:rsid w:val="00881EBC"/>
    <w:rsid w:val="00883F89"/>
    <w:rsid w:val="0088456D"/>
    <w:rsid w:val="00890813"/>
    <w:rsid w:val="00891E09"/>
    <w:rsid w:val="008A186F"/>
    <w:rsid w:val="008A1CCA"/>
    <w:rsid w:val="008A2182"/>
    <w:rsid w:val="008A3684"/>
    <w:rsid w:val="008B2746"/>
    <w:rsid w:val="008B3486"/>
    <w:rsid w:val="008B4863"/>
    <w:rsid w:val="008B7249"/>
    <w:rsid w:val="008C3CFD"/>
    <w:rsid w:val="008C733A"/>
    <w:rsid w:val="008D2B38"/>
    <w:rsid w:val="008D2D52"/>
    <w:rsid w:val="008D3C12"/>
    <w:rsid w:val="008D5A81"/>
    <w:rsid w:val="008D6521"/>
    <w:rsid w:val="008F08CD"/>
    <w:rsid w:val="008F4CB4"/>
    <w:rsid w:val="008F573D"/>
    <w:rsid w:val="008F5B52"/>
    <w:rsid w:val="008F5E7D"/>
    <w:rsid w:val="008F68B0"/>
    <w:rsid w:val="00901954"/>
    <w:rsid w:val="009030C1"/>
    <w:rsid w:val="009035DB"/>
    <w:rsid w:val="009048A8"/>
    <w:rsid w:val="00904E38"/>
    <w:rsid w:val="00911DF5"/>
    <w:rsid w:val="00916F93"/>
    <w:rsid w:val="009208CA"/>
    <w:rsid w:val="00931605"/>
    <w:rsid w:val="00932378"/>
    <w:rsid w:val="009350BC"/>
    <w:rsid w:val="009440A9"/>
    <w:rsid w:val="0094664A"/>
    <w:rsid w:val="0094715B"/>
    <w:rsid w:val="0095180D"/>
    <w:rsid w:val="009658DF"/>
    <w:rsid w:val="00970180"/>
    <w:rsid w:val="0097051C"/>
    <w:rsid w:val="0097226B"/>
    <w:rsid w:val="00972D58"/>
    <w:rsid w:val="00973BFD"/>
    <w:rsid w:val="00976546"/>
    <w:rsid w:val="00980B7A"/>
    <w:rsid w:val="009829DC"/>
    <w:rsid w:val="00982AA4"/>
    <w:rsid w:val="0098332F"/>
    <w:rsid w:val="00987132"/>
    <w:rsid w:val="0099259E"/>
    <w:rsid w:val="00993E7E"/>
    <w:rsid w:val="009953AB"/>
    <w:rsid w:val="009953BE"/>
    <w:rsid w:val="009974D8"/>
    <w:rsid w:val="00997CBA"/>
    <w:rsid w:val="009A03BD"/>
    <w:rsid w:val="009A04D7"/>
    <w:rsid w:val="009A40C0"/>
    <w:rsid w:val="009B2AFC"/>
    <w:rsid w:val="009B3B4F"/>
    <w:rsid w:val="009B4C18"/>
    <w:rsid w:val="009B51A5"/>
    <w:rsid w:val="009C01B9"/>
    <w:rsid w:val="009C4D77"/>
    <w:rsid w:val="009C5C4C"/>
    <w:rsid w:val="009C7919"/>
    <w:rsid w:val="009E56E2"/>
    <w:rsid w:val="009E5FE8"/>
    <w:rsid w:val="009F13B3"/>
    <w:rsid w:val="009F1E51"/>
    <w:rsid w:val="009F3129"/>
    <w:rsid w:val="009F6028"/>
    <w:rsid w:val="00A0103A"/>
    <w:rsid w:val="00A0526D"/>
    <w:rsid w:val="00A0531D"/>
    <w:rsid w:val="00A05CF1"/>
    <w:rsid w:val="00A07060"/>
    <w:rsid w:val="00A13F33"/>
    <w:rsid w:val="00A14378"/>
    <w:rsid w:val="00A16431"/>
    <w:rsid w:val="00A17DC4"/>
    <w:rsid w:val="00A20B7C"/>
    <w:rsid w:val="00A212BD"/>
    <w:rsid w:val="00A23809"/>
    <w:rsid w:val="00A23C7B"/>
    <w:rsid w:val="00A25F56"/>
    <w:rsid w:val="00A31888"/>
    <w:rsid w:val="00A3468E"/>
    <w:rsid w:val="00A363F2"/>
    <w:rsid w:val="00A36FE2"/>
    <w:rsid w:val="00A4094A"/>
    <w:rsid w:val="00A40C5F"/>
    <w:rsid w:val="00A42A02"/>
    <w:rsid w:val="00A42BDB"/>
    <w:rsid w:val="00A434CF"/>
    <w:rsid w:val="00A45ACD"/>
    <w:rsid w:val="00A50229"/>
    <w:rsid w:val="00A51DFB"/>
    <w:rsid w:val="00A53096"/>
    <w:rsid w:val="00A55CE7"/>
    <w:rsid w:val="00A55D61"/>
    <w:rsid w:val="00A57A4A"/>
    <w:rsid w:val="00A57CF6"/>
    <w:rsid w:val="00A60038"/>
    <w:rsid w:val="00A613DC"/>
    <w:rsid w:val="00A63B49"/>
    <w:rsid w:val="00A6613F"/>
    <w:rsid w:val="00A66B53"/>
    <w:rsid w:val="00A6737A"/>
    <w:rsid w:val="00A712BE"/>
    <w:rsid w:val="00A71EFB"/>
    <w:rsid w:val="00A7235E"/>
    <w:rsid w:val="00A7415D"/>
    <w:rsid w:val="00A75967"/>
    <w:rsid w:val="00A75DC8"/>
    <w:rsid w:val="00A75EAA"/>
    <w:rsid w:val="00A81FB8"/>
    <w:rsid w:val="00A8462C"/>
    <w:rsid w:val="00A91DA7"/>
    <w:rsid w:val="00A959D7"/>
    <w:rsid w:val="00AA2E31"/>
    <w:rsid w:val="00AB2098"/>
    <w:rsid w:val="00AB2921"/>
    <w:rsid w:val="00AB3120"/>
    <w:rsid w:val="00AB3DE3"/>
    <w:rsid w:val="00AB470E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D3606"/>
    <w:rsid w:val="00AD451C"/>
    <w:rsid w:val="00AE1650"/>
    <w:rsid w:val="00AE79F7"/>
    <w:rsid w:val="00AF26A3"/>
    <w:rsid w:val="00AF3B63"/>
    <w:rsid w:val="00B05615"/>
    <w:rsid w:val="00B07597"/>
    <w:rsid w:val="00B110D8"/>
    <w:rsid w:val="00B146FD"/>
    <w:rsid w:val="00B148F4"/>
    <w:rsid w:val="00B16E24"/>
    <w:rsid w:val="00B17425"/>
    <w:rsid w:val="00B2121E"/>
    <w:rsid w:val="00B26007"/>
    <w:rsid w:val="00B316AF"/>
    <w:rsid w:val="00B31E3C"/>
    <w:rsid w:val="00B32125"/>
    <w:rsid w:val="00B33CA4"/>
    <w:rsid w:val="00B3506A"/>
    <w:rsid w:val="00B37E0F"/>
    <w:rsid w:val="00B417FD"/>
    <w:rsid w:val="00B420AC"/>
    <w:rsid w:val="00B420C7"/>
    <w:rsid w:val="00B46778"/>
    <w:rsid w:val="00B51CA8"/>
    <w:rsid w:val="00B5311F"/>
    <w:rsid w:val="00B560B9"/>
    <w:rsid w:val="00B57A47"/>
    <w:rsid w:val="00B57F3D"/>
    <w:rsid w:val="00B60AC4"/>
    <w:rsid w:val="00B615E2"/>
    <w:rsid w:val="00B63895"/>
    <w:rsid w:val="00B7185F"/>
    <w:rsid w:val="00B74C22"/>
    <w:rsid w:val="00B766C2"/>
    <w:rsid w:val="00B813BE"/>
    <w:rsid w:val="00B9175F"/>
    <w:rsid w:val="00B939F4"/>
    <w:rsid w:val="00BA20B7"/>
    <w:rsid w:val="00BA26BD"/>
    <w:rsid w:val="00BA41C8"/>
    <w:rsid w:val="00BB12E3"/>
    <w:rsid w:val="00BB3020"/>
    <w:rsid w:val="00BB6631"/>
    <w:rsid w:val="00BC01D4"/>
    <w:rsid w:val="00BC4593"/>
    <w:rsid w:val="00BC4668"/>
    <w:rsid w:val="00BC6B37"/>
    <w:rsid w:val="00BD7392"/>
    <w:rsid w:val="00BE7DB7"/>
    <w:rsid w:val="00BF3A6A"/>
    <w:rsid w:val="00BF41BB"/>
    <w:rsid w:val="00BF54F4"/>
    <w:rsid w:val="00BF5F0D"/>
    <w:rsid w:val="00BF7355"/>
    <w:rsid w:val="00C023E3"/>
    <w:rsid w:val="00C02CD4"/>
    <w:rsid w:val="00C036F9"/>
    <w:rsid w:val="00C03FC6"/>
    <w:rsid w:val="00C04197"/>
    <w:rsid w:val="00C042C8"/>
    <w:rsid w:val="00C04DAA"/>
    <w:rsid w:val="00C05F91"/>
    <w:rsid w:val="00C12354"/>
    <w:rsid w:val="00C1236E"/>
    <w:rsid w:val="00C17004"/>
    <w:rsid w:val="00C21A3E"/>
    <w:rsid w:val="00C22C32"/>
    <w:rsid w:val="00C22F0F"/>
    <w:rsid w:val="00C251FD"/>
    <w:rsid w:val="00C275C2"/>
    <w:rsid w:val="00C27815"/>
    <w:rsid w:val="00C318C2"/>
    <w:rsid w:val="00C33EEA"/>
    <w:rsid w:val="00C37375"/>
    <w:rsid w:val="00C4025A"/>
    <w:rsid w:val="00C40A15"/>
    <w:rsid w:val="00C42DB5"/>
    <w:rsid w:val="00C43921"/>
    <w:rsid w:val="00C45CD1"/>
    <w:rsid w:val="00C46414"/>
    <w:rsid w:val="00C47927"/>
    <w:rsid w:val="00C50C3F"/>
    <w:rsid w:val="00C65A32"/>
    <w:rsid w:val="00C71D47"/>
    <w:rsid w:val="00C725C1"/>
    <w:rsid w:val="00C7433B"/>
    <w:rsid w:val="00C76AB3"/>
    <w:rsid w:val="00C77233"/>
    <w:rsid w:val="00C77524"/>
    <w:rsid w:val="00C83F2C"/>
    <w:rsid w:val="00C864C9"/>
    <w:rsid w:val="00C92D70"/>
    <w:rsid w:val="00C93B58"/>
    <w:rsid w:val="00C9550E"/>
    <w:rsid w:val="00C95700"/>
    <w:rsid w:val="00C9679A"/>
    <w:rsid w:val="00C96CDC"/>
    <w:rsid w:val="00C97436"/>
    <w:rsid w:val="00CA1A56"/>
    <w:rsid w:val="00CA2B4D"/>
    <w:rsid w:val="00CB3A40"/>
    <w:rsid w:val="00CB549B"/>
    <w:rsid w:val="00CC1EAC"/>
    <w:rsid w:val="00CC4479"/>
    <w:rsid w:val="00CC4500"/>
    <w:rsid w:val="00CD0480"/>
    <w:rsid w:val="00CD276C"/>
    <w:rsid w:val="00CD43CC"/>
    <w:rsid w:val="00CD4B54"/>
    <w:rsid w:val="00CD66E2"/>
    <w:rsid w:val="00CD7941"/>
    <w:rsid w:val="00CE09C4"/>
    <w:rsid w:val="00CE2CAB"/>
    <w:rsid w:val="00CE2D60"/>
    <w:rsid w:val="00CE77A4"/>
    <w:rsid w:val="00D00F5F"/>
    <w:rsid w:val="00D06E5E"/>
    <w:rsid w:val="00D0733B"/>
    <w:rsid w:val="00D112B3"/>
    <w:rsid w:val="00D1241D"/>
    <w:rsid w:val="00D2080B"/>
    <w:rsid w:val="00D2138E"/>
    <w:rsid w:val="00D22DB0"/>
    <w:rsid w:val="00D2318D"/>
    <w:rsid w:val="00D262C1"/>
    <w:rsid w:val="00D33471"/>
    <w:rsid w:val="00D33817"/>
    <w:rsid w:val="00D36154"/>
    <w:rsid w:val="00D4067B"/>
    <w:rsid w:val="00D4462E"/>
    <w:rsid w:val="00D449AD"/>
    <w:rsid w:val="00D4570E"/>
    <w:rsid w:val="00D50183"/>
    <w:rsid w:val="00D51B66"/>
    <w:rsid w:val="00D5626E"/>
    <w:rsid w:val="00D6176D"/>
    <w:rsid w:val="00D61B86"/>
    <w:rsid w:val="00D66250"/>
    <w:rsid w:val="00D6650F"/>
    <w:rsid w:val="00D6675B"/>
    <w:rsid w:val="00D720B5"/>
    <w:rsid w:val="00D72726"/>
    <w:rsid w:val="00D82863"/>
    <w:rsid w:val="00D830D8"/>
    <w:rsid w:val="00D8732B"/>
    <w:rsid w:val="00D93015"/>
    <w:rsid w:val="00D960D5"/>
    <w:rsid w:val="00D96125"/>
    <w:rsid w:val="00DA4C5B"/>
    <w:rsid w:val="00DA5D69"/>
    <w:rsid w:val="00DB6339"/>
    <w:rsid w:val="00DB7705"/>
    <w:rsid w:val="00DC2EE1"/>
    <w:rsid w:val="00DC7361"/>
    <w:rsid w:val="00DC7A22"/>
    <w:rsid w:val="00DC7B52"/>
    <w:rsid w:val="00DD1336"/>
    <w:rsid w:val="00DD4C0E"/>
    <w:rsid w:val="00DD5E6F"/>
    <w:rsid w:val="00DD7C2E"/>
    <w:rsid w:val="00DE043A"/>
    <w:rsid w:val="00DE168B"/>
    <w:rsid w:val="00DE24E2"/>
    <w:rsid w:val="00DE2D26"/>
    <w:rsid w:val="00DE3B58"/>
    <w:rsid w:val="00DF2607"/>
    <w:rsid w:val="00DF2DAF"/>
    <w:rsid w:val="00DF534C"/>
    <w:rsid w:val="00DF5506"/>
    <w:rsid w:val="00DF5C1E"/>
    <w:rsid w:val="00E00273"/>
    <w:rsid w:val="00E01228"/>
    <w:rsid w:val="00E02C88"/>
    <w:rsid w:val="00E0396A"/>
    <w:rsid w:val="00E062FC"/>
    <w:rsid w:val="00E06D47"/>
    <w:rsid w:val="00E12A24"/>
    <w:rsid w:val="00E20ED4"/>
    <w:rsid w:val="00E2217F"/>
    <w:rsid w:val="00E22FC7"/>
    <w:rsid w:val="00E2340E"/>
    <w:rsid w:val="00E25ED3"/>
    <w:rsid w:val="00E261AE"/>
    <w:rsid w:val="00E3280D"/>
    <w:rsid w:val="00E3280F"/>
    <w:rsid w:val="00E331A0"/>
    <w:rsid w:val="00E3332A"/>
    <w:rsid w:val="00E36B4A"/>
    <w:rsid w:val="00E44766"/>
    <w:rsid w:val="00E4607D"/>
    <w:rsid w:val="00E466D0"/>
    <w:rsid w:val="00E46822"/>
    <w:rsid w:val="00E469E3"/>
    <w:rsid w:val="00E46F7B"/>
    <w:rsid w:val="00E50943"/>
    <w:rsid w:val="00E53D17"/>
    <w:rsid w:val="00E574E5"/>
    <w:rsid w:val="00E577A9"/>
    <w:rsid w:val="00E60489"/>
    <w:rsid w:val="00E61EB6"/>
    <w:rsid w:val="00E626BC"/>
    <w:rsid w:val="00E6292B"/>
    <w:rsid w:val="00E63989"/>
    <w:rsid w:val="00E651C0"/>
    <w:rsid w:val="00E65CB9"/>
    <w:rsid w:val="00E670D3"/>
    <w:rsid w:val="00E70E2A"/>
    <w:rsid w:val="00E71293"/>
    <w:rsid w:val="00E71495"/>
    <w:rsid w:val="00E718A1"/>
    <w:rsid w:val="00E75C92"/>
    <w:rsid w:val="00E75E49"/>
    <w:rsid w:val="00E76EAD"/>
    <w:rsid w:val="00E829F5"/>
    <w:rsid w:val="00E82E56"/>
    <w:rsid w:val="00E955F5"/>
    <w:rsid w:val="00EA0359"/>
    <w:rsid w:val="00EA53CB"/>
    <w:rsid w:val="00EA7CE5"/>
    <w:rsid w:val="00EB4012"/>
    <w:rsid w:val="00EB5923"/>
    <w:rsid w:val="00EB5B24"/>
    <w:rsid w:val="00EB5D63"/>
    <w:rsid w:val="00EC4735"/>
    <w:rsid w:val="00EC5F52"/>
    <w:rsid w:val="00EC6A35"/>
    <w:rsid w:val="00ED49CF"/>
    <w:rsid w:val="00ED52C7"/>
    <w:rsid w:val="00ED7E3D"/>
    <w:rsid w:val="00EF1C4C"/>
    <w:rsid w:val="00EF2AAB"/>
    <w:rsid w:val="00EF2E9B"/>
    <w:rsid w:val="00EF42AE"/>
    <w:rsid w:val="00EF4709"/>
    <w:rsid w:val="00F013FB"/>
    <w:rsid w:val="00F0738E"/>
    <w:rsid w:val="00F1081E"/>
    <w:rsid w:val="00F11C8C"/>
    <w:rsid w:val="00F17D32"/>
    <w:rsid w:val="00F235B4"/>
    <w:rsid w:val="00F2453A"/>
    <w:rsid w:val="00F245C9"/>
    <w:rsid w:val="00F2465A"/>
    <w:rsid w:val="00F25985"/>
    <w:rsid w:val="00F30BF7"/>
    <w:rsid w:val="00F31F88"/>
    <w:rsid w:val="00F331DF"/>
    <w:rsid w:val="00F4096D"/>
    <w:rsid w:val="00F420D4"/>
    <w:rsid w:val="00F5590C"/>
    <w:rsid w:val="00F55DF4"/>
    <w:rsid w:val="00F573F3"/>
    <w:rsid w:val="00F60945"/>
    <w:rsid w:val="00F6159B"/>
    <w:rsid w:val="00F615E4"/>
    <w:rsid w:val="00F64627"/>
    <w:rsid w:val="00F70CC2"/>
    <w:rsid w:val="00F77C77"/>
    <w:rsid w:val="00F8196B"/>
    <w:rsid w:val="00F857E2"/>
    <w:rsid w:val="00F86882"/>
    <w:rsid w:val="00F87B7D"/>
    <w:rsid w:val="00F90CC8"/>
    <w:rsid w:val="00F913E0"/>
    <w:rsid w:val="00FA2942"/>
    <w:rsid w:val="00FA3CDB"/>
    <w:rsid w:val="00FA6935"/>
    <w:rsid w:val="00FB00EE"/>
    <w:rsid w:val="00FB2223"/>
    <w:rsid w:val="00FB388D"/>
    <w:rsid w:val="00FB45A4"/>
    <w:rsid w:val="00FC27DE"/>
    <w:rsid w:val="00FC334F"/>
    <w:rsid w:val="00FC5E1B"/>
    <w:rsid w:val="00FD4FC0"/>
    <w:rsid w:val="00FD6ADD"/>
    <w:rsid w:val="00FD6BFD"/>
    <w:rsid w:val="00FE0461"/>
    <w:rsid w:val="00FE0B29"/>
    <w:rsid w:val="00FE2C8B"/>
    <w:rsid w:val="00FE5643"/>
    <w:rsid w:val="00FE6D76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C04197"/>
  </w:style>
  <w:style w:type="character" w:styleId="FollowedHyperlink">
    <w:name w:val="FollowedHyperlink"/>
    <w:basedOn w:val="DefaultParagraphFont"/>
    <w:uiPriority w:val="99"/>
    <w:semiHidden/>
    <w:unhideWhenUsed/>
    <w:rsid w:val="00AB3DE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3684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DB63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GreaterGeelong.ERAPSubmissions@vec.vic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ec.vic.gov.a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ec.vic.gov.a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vec.vic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abs.gov.a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ec.vic.gov.au/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5953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mailto:GreaterGeelong.ERAPSubmissions@vec.vic.gov.au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2023-06-19T22:54:00Z</dcterms:created>
  <dcterms:modified xsi:type="dcterms:W3CDTF">2023-06-19T22:54:00Z</dcterms:modified>
</cp:coreProperties>
</file>