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bookmarkStart w:id="0" w:name="_Hlk138149177"/>
      <w:bookmarkEnd w:id="0"/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3743E804">
                <wp:simplePos x="0" y="0"/>
                <wp:positionH relativeFrom="column">
                  <wp:posOffset>3223260</wp:posOffset>
                </wp:positionH>
                <wp:positionV relativeFrom="paragraph">
                  <wp:posOffset>143510</wp:posOffset>
                </wp:positionV>
                <wp:extent cx="2882265" cy="7105650"/>
                <wp:effectExtent l="0" t="0" r="13335" b="19050"/>
                <wp:wrapTight wrapText="bothSides">
                  <wp:wrapPolygon edited="0">
                    <wp:start x="2427" y="0"/>
                    <wp:lineTo x="1428" y="174"/>
                    <wp:lineTo x="0" y="753"/>
                    <wp:lineTo x="0" y="20731"/>
                    <wp:lineTo x="999" y="21310"/>
                    <wp:lineTo x="2141" y="21600"/>
                    <wp:lineTo x="2427" y="21600"/>
                    <wp:lineTo x="19130" y="21600"/>
                    <wp:lineTo x="19416" y="21600"/>
                    <wp:lineTo x="20558" y="21310"/>
                    <wp:lineTo x="21557" y="20731"/>
                    <wp:lineTo x="21557" y="753"/>
                    <wp:lineTo x="20130" y="174"/>
                    <wp:lineTo x="19130" y="0"/>
                    <wp:lineTo x="2427" y="0"/>
                  </wp:wrapPolygon>
                </wp:wrapTight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10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2DB2F5A3" w:rsidR="00787A2B" w:rsidRPr="00D5018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5B4E32" w:rsidRPr="005B4E32">
                              <w:rPr>
                                <w:bCs/>
                                <w:szCs w:val="20"/>
                              </w:rPr>
                              <w:t>Stonnington City 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7A1263E7" w14:textId="15D13D2F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B5234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 The panel will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5B4E32" w:rsidRPr="005B4E32">
                              <w:rPr>
                                <w:bCs/>
                                <w:szCs w:val="20"/>
                              </w:rPr>
                              <w:t>Stonnington City Council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AutoShape 5" o:spid="_x0000_s1026" style="position:absolute;margin-left:253.8pt;margin-top:11.3pt;width:226.95pt;height:559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2DB2F5A3" w:rsidR="00787A2B" w:rsidRPr="00D5018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5B4E32" w:rsidRPr="005B4E32">
                        <w:rPr>
                          <w:bCs/>
                          <w:szCs w:val="20"/>
                        </w:rPr>
                        <w:t>Stonnington City 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7A1263E7" w14:textId="15D13D2F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B5234C">
                        <w:rPr>
                          <w:bCs/>
                          <w:color w:val="FFFFFF" w:themeColor="background1"/>
                          <w:szCs w:val="20"/>
                        </w:rPr>
                        <w:t>. The panel will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 </w:t>
                      </w:r>
                      <w:r w:rsidR="005B4E32" w:rsidRPr="005B4E32">
                        <w:rPr>
                          <w:bCs/>
                          <w:szCs w:val="20"/>
                        </w:rPr>
                        <w:t>Stonnington City Council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12E2F1AE" w:rsidR="005E451C" w:rsidRPr="005A3FC0" w:rsidRDefault="00533759" w:rsidP="005C7755">
      <w:pPr>
        <w:pStyle w:val="Heading1A"/>
        <w:spacing w:after="200"/>
      </w:pPr>
      <w:r>
        <w:t xml:space="preserve">About </w:t>
      </w:r>
      <w:r w:rsidR="005B4E32">
        <w:t>Stonnington City</w:t>
      </w:r>
      <w:r w:rsidR="005E451C" w:rsidRPr="005A3FC0">
        <w:t xml:space="preserve"> Council</w:t>
      </w:r>
    </w:p>
    <w:p w14:paraId="05E1E8B7" w14:textId="40071C43" w:rsidR="000D1E1A" w:rsidRPr="00A66F64" w:rsidRDefault="000D1E1A" w:rsidP="000D1E1A">
      <w:pPr>
        <w:pStyle w:val="Body"/>
        <w:spacing w:after="200" w:line="240" w:lineRule="auto"/>
        <w:rPr>
          <w:rFonts w:eastAsia="Century Gothic" w:cs="Arial"/>
        </w:rPr>
      </w:pPr>
      <w:r w:rsidRPr="00A66F64">
        <w:rPr>
          <w:rFonts w:eastAsia="Century Gothic" w:cs="Arial"/>
        </w:rPr>
        <w:t xml:space="preserve">The Traditional Custodians of the land in the </w:t>
      </w:r>
      <w:r w:rsidR="005C7755">
        <w:rPr>
          <w:rFonts w:eastAsia="Century Gothic" w:cs="Arial"/>
        </w:rPr>
        <w:t>Stonnington City</w:t>
      </w:r>
      <w:r>
        <w:rPr>
          <w:rFonts w:eastAsia="Century Gothic" w:cs="Arial"/>
        </w:rPr>
        <w:t xml:space="preserve"> Council</w:t>
      </w:r>
      <w:r w:rsidRPr="00A66F64">
        <w:rPr>
          <w:rFonts w:eastAsia="Century Gothic" w:cs="Arial"/>
        </w:rPr>
        <w:t xml:space="preserve"> area are the</w:t>
      </w:r>
      <w:r w:rsidR="0032269C">
        <w:rPr>
          <w:rFonts w:eastAsia="Century Gothic" w:cs="Arial"/>
        </w:rPr>
        <w:t xml:space="preserve"> </w:t>
      </w:r>
      <w:r w:rsidR="0032269C">
        <w:t>Wurundjeri and Bunurong peoples</w:t>
      </w:r>
      <w:r w:rsidRPr="00A66F64">
        <w:rPr>
          <w:rFonts w:eastAsia="Century Gothic" w:cs="Arial"/>
        </w:rPr>
        <w:t>.</w:t>
      </w:r>
    </w:p>
    <w:p w14:paraId="23394CF7" w14:textId="05C975C5" w:rsidR="00385751" w:rsidRPr="005C7755" w:rsidRDefault="005C7755" w:rsidP="00385751">
      <w:pPr>
        <w:pStyle w:val="Body"/>
        <w:spacing w:after="160" w:line="240" w:lineRule="auto"/>
        <w:rPr>
          <w:rFonts w:eastAsia="Century Gothic" w:cs="Arial"/>
          <w:highlight w:val="yellow"/>
        </w:rPr>
      </w:pPr>
      <w:r>
        <w:rPr>
          <w:rFonts w:eastAsia="Century Gothic" w:cs="Arial"/>
        </w:rPr>
        <w:t>Stonnington City Council</w:t>
      </w:r>
      <w:r w:rsidRPr="00A66F64">
        <w:rPr>
          <w:rFonts w:eastAsia="Century Gothic" w:cs="Arial"/>
        </w:rPr>
        <w:t xml:space="preserve"> </w:t>
      </w:r>
      <w:r w:rsidR="000D1E1A">
        <w:t xml:space="preserve">is in </w:t>
      </w:r>
      <w:r w:rsidR="000D1E1A" w:rsidRPr="006F2BDD">
        <w:t xml:space="preserve">inner </w:t>
      </w:r>
      <w:r w:rsidR="00A91362">
        <w:t xml:space="preserve">east </w:t>
      </w:r>
      <w:r w:rsidR="00C9620A">
        <w:t>of</w:t>
      </w:r>
      <w:r w:rsidR="000D1E1A" w:rsidRPr="006F2BDD">
        <w:t xml:space="preserve"> Melbourne, about 5</w:t>
      </w:r>
      <w:r w:rsidR="00EF06BC">
        <w:t>-</w:t>
      </w:r>
      <w:r w:rsidR="00A91362">
        <w:t>to-</w:t>
      </w:r>
      <w:r w:rsidR="00EF06BC">
        <w:t>10</w:t>
      </w:r>
      <w:r w:rsidR="00A91362">
        <w:t xml:space="preserve"> </w:t>
      </w:r>
      <w:r w:rsidR="000D1E1A" w:rsidRPr="006F2BDD">
        <w:t xml:space="preserve">km from the </w:t>
      </w:r>
      <w:r w:rsidR="00A91362">
        <w:t>city centre</w:t>
      </w:r>
      <w:r w:rsidR="000D1E1A" w:rsidRPr="006F2BDD">
        <w:t>. The council covers 2</w:t>
      </w:r>
      <w:r w:rsidR="006F2BDD" w:rsidRPr="006F2BDD">
        <w:t>6</w:t>
      </w:r>
      <w:r w:rsidR="00A91362">
        <w:t xml:space="preserve"> </w:t>
      </w:r>
      <w:r w:rsidR="000D1E1A" w:rsidRPr="006F2BDD">
        <w:t>km</w:t>
      </w:r>
      <w:r w:rsidR="000D1E1A" w:rsidRPr="006F2BDD">
        <w:rPr>
          <w:rFonts w:eastAsia="Century Gothic" w:cs="Arial"/>
          <w:vertAlign w:val="superscript"/>
        </w:rPr>
        <w:t xml:space="preserve">2 </w:t>
      </w:r>
      <w:r w:rsidR="000D1E1A" w:rsidRPr="006F2BDD">
        <w:rPr>
          <w:rFonts w:eastAsia="Century Gothic" w:cs="Arial"/>
        </w:rPr>
        <w:t>and ha</w:t>
      </w:r>
      <w:r w:rsidR="00A91362">
        <w:rPr>
          <w:rFonts w:eastAsia="Century Gothic" w:cs="Arial"/>
        </w:rPr>
        <w:t>d</w:t>
      </w:r>
      <w:r w:rsidR="000D1E1A" w:rsidRPr="006F2BDD">
        <w:rPr>
          <w:rFonts w:eastAsia="Century Gothic" w:cs="Arial"/>
        </w:rPr>
        <w:t xml:space="preserve"> a population of </w:t>
      </w:r>
      <w:r w:rsidR="006F2BDD" w:rsidRPr="006F2BDD">
        <w:rPr>
          <w:rFonts w:eastAsia="Century Gothic" w:cs="Arial"/>
        </w:rPr>
        <w:t>104,703</w:t>
      </w:r>
      <w:r w:rsidR="00A91362">
        <w:rPr>
          <w:rFonts w:eastAsia="Century Gothic" w:cs="Arial"/>
        </w:rPr>
        <w:t xml:space="preserve"> at the 2021 Census</w:t>
      </w:r>
      <w:r w:rsidR="006F2BDD" w:rsidRPr="006F2BDD">
        <w:rPr>
          <w:rFonts w:eastAsia="Century Gothic" w:cs="Arial"/>
        </w:rPr>
        <w:t>.</w:t>
      </w:r>
    </w:p>
    <w:p w14:paraId="6C6A8F26" w14:textId="0C807010" w:rsidR="000D1E1A" w:rsidRPr="00BD1A56" w:rsidRDefault="000D1E1A" w:rsidP="00385751">
      <w:pPr>
        <w:spacing w:after="160"/>
      </w:pPr>
      <w:r w:rsidRPr="00BD1A56">
        <w:t xml:space="preserve">The council </w:t>
      </w:r>
      <w:r w:rsidR="00B5234C">
        <w:t xml:space="preserve">area </w:t>
      </w:r>
      <w:r w:rsidRPr="00BD1A56">
        <w:t xml:space="preserve">comprises the suburbs of </w:t>
      </w:r>
      <w:r w:rsidR="00BD1A56">
        <w:t>Armadale, Glen Iris, Kooyong, Malvern, Malvern</w:t>
      </w:r>
      <w:r w:rsidR="00693E89">
        <w:t xml:space="preserve"> East, Prahran, South Yarra, Toorak, and Windsor.</w:t>
      </w:r>
    </w:p>
    <w:p w14:paraId="4F028769" w14:textId="6EB1EB2B" w:rsidR="000D1E1A" w:rsidRPr="00A00E1C" w:rsidRDefault="000D1E1A" w:rsidP="00385751">
      <w:pPr>
        <w:spacing w:after="160"/>
      </w:pPr>
      <w:r w:rsidRPr="00A00E1C">
        <w:t>The council</w:t>
      </w:r>
      <w:r w:rsidR="00EC629C">
        <w:t xml:space="preserve"> area</w:t>
      </w:r>
      <w:r w:rsidRPr="00A00E1C">
        <w:t xml:space="preserve"> is well connected to public transport, with the Sandringham, Frankston, </w:t>
      </w:r>
      <w:r w:rsidR="00CD1C45" w:rsidRPr="00A00E1C">
        <w:t>Pakenham</w:t>
      </w:r>
      <w:r w:rsidR="008C4CF5">
        <w:t>, Cranbourne</w:t>
      </w:r>
      <w:r w:rsidR="00CD1C45" w:rsidRPr="00A00E1C">
        <w:t>,</w:t>
      </w:r>
      <w:r w:rsidR="00A00E1C">
        <w:t xml:space="preserve"> and</w:t>
      </w:r>
      <w:r w:rsidRPr="00A00E1C">
        <w:t xml:space="preserve"> Glen Waverley railway lines running through its boundaries, as well as </w:t>
      </w:r>
      <w:r w:rsidR="00EC629C">
        <w:t>several</w:t>
      </w:r>
      <w:r w:rsidR="00EC629C" w:rsidRPr="00A00E1C">
        <w:t xml:space="preserve"> </w:t>
      </w:r>
      <w:r w:rsidRPr="00A00E1C">
        <w:t xml:space="preserve">tram and bus lines. </w:t>
      </w:r>
      <w:r w:rsidR="0052107A" w:rsidRPr="00A00E1C">
        <w:t xml:space="preserve">The Monash Freeway forms part of </w:t>
      </w:r>
      <w:r w:rsidR="007959CF" w:rsidRPr="00A00E1C">
        <w:t>the council’s eastern boundary.</w:t>
      </w:r>
    </w:p>
    <w:p w14:paraId="2F11A27C" w14:textId="7D8416C0" w:rsidR="000D1E1A" w:rsidRPr="009805C2" w:rsidRDefault="000D1E1A" w:rsidP="000D1E1A">
      <w:pPr>
        <w:spacing w:after="200"/>
      </w:pPr>
      <w:r w:rsidRPr="009805C2">
        <w:t>Over half</w:t>
      </w:r>
      <w:r w:rsidR="006233F8">
        <w:t xml:space="preserve"> of the council area’s</w:t>
      </w:r>
      <w:r w:rsidRPr="009805C2">
        <w:t xml:space="preserve"> working population is employed in either professional services, healthcare and social assistance or retail and food services. </w:t>
      </w:r>
    </w:p>
    <w:p w14:paraId="529332A2" w14:textId="6D9E692E" w:rsidR="000D1E1A" w:rsidRPr="00587D15" w:rsidRDefault="000D1E1A" w:rsidP="000D1E1A">
      <w:pPr>
        <w:spacing w:after="200"/>
      </w:pPr>
      <w:r w:rsidRPr="00587D15">
        <w:t>Home ownership</w:t>
      </w:r>
      <w:r w:rsidR="00F810C8">
        <w:t xml:space="preserve"> </w:t>
      </w:r>
      <w:r w:rsidR="00F810C8" w:rsidRPr="00587D15">
        <w:t>(owned outright and with a mortgage)</w:t>
      </w:r>
      <w:r w:rsidR="006233F8">
        <w:t xml:space="preserve"> in 2021 was</w:t>
      </w:r>
      <w:r w:rsidRPr="00587D15">
        <w:t xml:space="preserve"> </w:t>
      </w:r>
      <w:r w:rsidR="00385CCD" w:rsidRPr="00587D15">
        <w:t>52.4</w:t>
      </w:r>
      <w:r w:rsidRPr="00587D15">
        <w:t xml:space="preserve">%, </w:t>
      </w:r>
      <w:r w:rsidR="006233F8">
        <w:t>which wa</w:t>
      </w:r>
      <w:r w:rsidRPr="00587D15">
        <w:t xml:space="preserve">s lower than the Greater Melbourne rate of 66.8%. The proportion of households renting </w:t>
      </w:r>
      <w:r w:rsidR="00D23F13">
        <w:t>wa</w:t>
      </w:r>
      <w:r w:rsidR="00F810C8">
        <w:t>s</w:t>
      </w:r>
      <w:r w:rsidR="00F810C8" w:rsidRPr="00587D15">
        <w:t xml:space="preserve"> </w:t>
      </w:r>
      <w:r w:rsidRPr="00587D15">
        <w:t xml:space="preserve">significantly higher </w:t>
      </w:r>
      <w:r w:rsidR="00D23F13">
        <w:t xml:space="preserve">in 2021 </w:t>
      </w:r>
      <w:r w:rsidRPr="00587D15">
        <w:t>(</w:t>
      </w:r>
      <w:r w:rsidR="00385CCD" w:rsidRPr="00587D15">
        <w:t>44.9</w:t>
      </w:r>
      <w:r w:rsidRPr="00587D15">
        <w:t>%) than the Greater Melbourne rate of 30.2%.</w:t>
      </w:r>
    </w:p>
    <w:p w14:paraId="7817DA9F" w14:textId="32415D96" w:rsidR="00303185" w:rsidRPr="00533759" w:rsidRDefault="00CE631A" w:rsidP="00387BE4">
      <w:pPr>
        <w:spacing w:after="240"/>
        <w:sectPr w:rsidR="00303185" w:rsidRP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 w:rsidRPr="006873A9">
        <w:t>Stonnington City</w:t>
      </w:r>
      <w:r w:rsidR="00CD1C45">
        <w:t xml:space="preserve"> Council</w:t>
      </w:r>
      <w:r w:rsidRPr="006873A9">
        <w:t xml:space="preserve"> is</w:t>
      </w:r>
      <w:r w:rsidR="00897409">
        <w:t xml:space="preserve"> one of</w:t>
      </w:r>
      <w:r w:rsidRPr="006873A9">
        <w:t xml:space="preserve"> the most affluent and advantaged </w:t>
      </w:r>
      <w:r w:rsidR="00D23F13">
        <w:t>l</w:t>
      </w:r>
      <w:r w:rsidRPr="006873A9">
        <w:t xml:space="preserve">ocal </w:t>
      </w:r>
      <w:r w:rsidR="00D23F13">
        <w:t>g</w:t>
      </w:r>
      <w:r w:rsidRPr="006873A9">
        <w:t xml:space="preserve">overnment </w:t>
      </w:r>
      <w:r w:rsidR="00D23F13">
        <w:t>a</w:t>
      </w:r>
      <w:r w:rsidRPr="006873A9">
        <w:t>rea</w:t>
      </w:r>
      <w:r w:rsidR="00897409">
        <w:t>s</w:t>
      </w:r>
      <w:r w:rsidRPr="006873A9">
        <w:t xml:space="preserve"> in Victoria. I</w:t>
      </w:r>
      <w:r w:rsidR="00D23F13">
        <w:t>n 2021 i</w:t>
      </w:r>
      <w:r w:rsidRPr="006873A9">
        <w:t>t ha</w:t>
      </w:r>
      <w:r w:rsidR="00D23F13">
        <w:t>d</w:t>
      </w:r>
      <w:r w:rsidRPr="006873A9">
        <w:t xml:space="preserve"> a median weekly</w:t>
      </w:r>
      <w:r w:rsidR="00E72175">
        <w:t xml:space="preserve"> household</w:t>
      </w:r>
      <w:r w:rsidRPr="006873A9">
        <w:t xml:space="preserve"> income of</w:t>
      </w:r>
      <w:r w:rsidR="000D1E1A" w:rsidRPr="006873A9">
        <w:t xml:space="preserve"> $2,2</w:t>
      </w:r>
      <w:r w:rsidR="006873A9" w:rsidRPr="006873A9">
        <w:t>10</w:t>
      </w:r>
      <w:r w:rsidR="000D1E1A" w:rsidRPr="006873A9">
        <w:t>, more than the Greater Melbourne median of $1,901</w:t>
      </w:r>
    </w:p>
    <w:p w14:paraId="528AB488" w14:textId="77777777" w:rsidR="00527A64" w:rsidRDefault="00527A64" w:rsidP="00B87612"/>
    <w:p w14:paraId="2C877BB0" w14:textId="439BFECC" w:rsidR="004B309B" w:rsidRPr="00E25ED3" w:rsidRDefault="004B309B" w:rsidP="00E25ED3">
      <w:pPr>
        <w:pStyle w:val="Heading2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4B58A5AA" w:rsidR="004B309B" w:rsidRPr="0006426F" w:rsidRDefault="005B4E32" w:rsidP="004B309B">
      <w:pPr>
        <w:pStyle w:val="Body"/>
        <w:spacing w:after="240" w:line="240" w:lineRule="auto"/>
      </w:pPr>
      <w:r w:rsidRPr="0006426F">
        <w:rPr>
          <w:bCs/>
          <w:szCs w:val="20"/>
        </w:rPr>
        <w:t>Stonnington City Council</w:t>
      </w:r>
      <w:r w:rsidRPr="0006426F">
        <w:rPr>
          <w:bCs/>
          <w:color w:val="FFFFFF" w:themeColor="background1"/>
          <w:szCs w:val="20"/>
        </w:rPr>
        <w:t xml:space="preserve"> </w:t>
      </w:r>
      <w:r w:rsidR="004B309B" w:rsidRPr="0006426F">
        <w:t>is divided into</w:t>
      </w:r>
      <w:r w:rsidR="0006426F" w:rsidRPr="0006426F">
        <w:t xml:space="preserve"> 3</w:t>
      </w:r>
      <w:r w:rsidR="00E3332A" w:rsidRPr="0006426F">
        <w:t xml:space="preserve"> </w:t>
      </w:r>
      <w:r w:rsidR="0006426F" w:rsidRPr="0006426F">
        <w:t xml:space="preserve">wards </w:t>
      </w:r>
      <w:r w:rsidR="004B309B" w:rsidRPr="0006426F">
        <w:t xml:space="preserve">with a total of </w:t>
      </w:r>
      <w:r w:rsidR="0006426F" w:rsidRPr="0006426F">
        <w:t xml:space="preserve">9 </w:t>
      </w:r>
      <w:r w:rsidR="00A16431" w:rsidRPr="0006426F">
        <w:t>councillors:</w:t>
      </w:r>
      <w:r w:rsidR="004B309B" w:rsidRPr="0006426F">
        <w:t xml:space="preserve">  </w:t>
      </w:r>
    </w:p>
    <w:p w14:paraId="17EADD04" w14:textId="3A695004" w:rsidR="00A55CE7" w:rsidRPr="0006426F" w:rsidRDefault="0006426F" w:rsidP="001E6B21">
      <w:pPr>
        <w:pStyle w:val="Bulletlevel1"/>
        <w:spacing w:after="0"/>
      </w:pPr>
      <w:r w:rsidRPr="0006426F">
        <w:t>3</w:t>
      </w:r>
      <w:r w:rsidR="0087655E" w:rsidRPr="0006426F">
        <w:t xml:space="preserve"> wards</w:t>
      </w:r>
      <w:r w:rsidR="00931605" w:rsidRPr="0006426F">
        <w:t xml:space="preserve"> with</w:t>
      </w:r>
      <w:r w:rsidRPr="0006426F">
        <w:t xml:space="preserve"> 3 </w:t>
      </w:r>
      <w:r w:rsidR="006D729D" w:rsidRPr="0006426F">
        <w:t>councillors</w:t>
      </w:r>
      <w:r w:rsidR="00E02C88" w:rsidRPr="0006426F">
        <w:t xml:space="preserve"> each</w:t>
      </w:r>
      <w:r w:rsidR="00D23F13">
        <w:t>.</w:t>
      </w:r>
    </w:p>
    <w:p w14:paraId="4BEC8A4D" w14:textId="77777777" w:rsidR="004416AD" w:rsidRDefault="004416AD" w:rsidP="004416AD">
      <w:pPr>
        <w:pStyle w:val="Bulletlevel1"/>
        <w:numPr>
          <w:ilvl w:val="0"/>
          <w:numId w:val="0"/>
        </w:numPr>
        <w:spacing w:after="0"/>
        <w:ind w:left="340"/>
      </w:pPr>
    </w:p>
    <w:p w14:paraId="6BA48507" w14:textId="47951636" w:rsidR="00CE77A4" w:rsidRPr="00E25ED3" w:rsidRDefault="00CE77A4" w:rsidP="00E25ED3">
      <w:pPr>
        <w:pStyle w:val="Heading2"/>
      </w:pPr>
      <w:r w:rsidRPr="00E25ED3">
        <w:t>Last review</w:t>
      </w:r>
    </w:p>
    <w:p w14:paraId="5080722E" w14:textId="39F9CDD8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06426F" w:rsidRPr="005B4E32">
        <w:rPr>
          <w:bCs/>
          <w:szCs w:val="20"/>
        </w:rPr>
        <w:t>Stonnington City Council</w:t>
      </w:r>
      <w:r w:rsidR="0006426F">
        <w:rPr>
          <w:bCs/>
          <w:color w:val="FFFFFF" w:themeColor="background1"/>
          <w:szCs w:val="20"/>
        </w:rPr>
        <w:t xml:space="preserve"> </w:t>
      </w:r>
      <w:r w:rsidR="00CE77A4">
        <w:t xml:space="preserve">in </w:t>
      </w:r>
      <w:r w:rsidR="0006426F">
        <w:t>2011.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F658C2">
      <w:pPr>
        <w:pStyle w:val="Heading1A"/>
        <w:spacing w:after="200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F658C2">
      <w:pPr>
        <w:tabs>
          <w:tab w:val="left" w:pos="1351"/>
        </w:tabs>
        <w:spacing w:after="20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1987C4BE" w:rsidR="00442535" w:rsidRDefault="007D3CFE" w:rsidP="00C93B58">
      <w:pPr>
        <w:pStyle w:val="Heading2a"/>
      </w:pPr>
      <w:r>
        <w:t xml:space="preserve">17 </w:t>
      </w:r>
      <w:r w:rsidR="007634BA">
        <w:t xml:space="preserve">and 18 July 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793E787B" w:rsidR="001C2597" w:rsidRDefault="00C93B58" w:rsidP="000378E4">
      <w:pPr>
        <w:pStyle w:val="BodyA"/>
      </w:pPr>
      <w:r w:rsidRPr="00C93B58">
        <w:t xml:space="preserve">Session 1: </w:t>
      </w:r>
      <w:r w:rsidR="007634BA">
        <w:t xml:space="preserve">12 noon, </w:t>
      </w:r>
      <w:r w:rsidR="00C54C36">
        <w:t xml:space="preserve">Monday </w:t>
      </w:r>
      <w:r w:rsidR="007634BA">
        <w:t>17 July 2023</w:t>
      </w:r>
    </w:p>
    <w:p w14:paraId="1AF94748" w14:textId="070A6024" w:rsidR="00C93B58" w:rsidRPr="00C93B58" w:rsidRDefault="00C93B58" w:rsidP="000378E4">
      <w:pPr>
        <w:pStyle w:val="BodyA"/>
      </w:pPr>
      <w:r w:rsidRPr="00C93B58">
        <w:t xml:space="preserve">Session 2: </w:t>
      </w:r>
      <w:r w:rsidR="007634BA">
        <w:t>6</w:t>
      </w:r>
      <w:r w:rsidR="008F7A24">
        <w:t xml:space="preserve"> </w:t>
      </w:r>
      <w:r w:rsidR="007634BA">
        <w:t xml:space="preserve">pm, </w:t>
      </w:r>
      <w:r w:rsidR="00C54C36">
        <w:t xml:space="preserve">Tuesday </w:t>
      </w:r>
      <w:r w:rsidR="007634BA">
        <w:t>18 July 2023</w:t>
      </w:r>
    </w:p>
    <w:p w14:paraId="1F8E3951" w14:textId="40ABCA55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CD9A49A" w14:textId="7354D43B" w:rsidR="00C93B58" w:rsidRDefault="005C07A6" w:rsidP="00C76AB3">
      <w:pPr>
        <w:pStyle w:val="Heading2a"/>
      </w:pPr>
      <w:r>
        <w:t>Wednesday 19 July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1BE7ECEA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</w:t>
      </w:r>
      <w:r w:rsidR="005C07A6">
        <w:t xml:space="preserve"> Wednesday</w:t>
      </w:r>
      <w:r>
        <w:t xml:space="preserve"> </w:t>
      </w:r>
      <w:r w:rsidR="005C07A6">
        <w:t>19 July 2023</w:t>
      </w:r>
      <w:r w:rsidR="0080194A">
        <w:t>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1F1A82C1" w:rsidR="00C76AB3" w:rsidRDefault="0080194A" w:rsidP="00C76AB3">
      <w:pPr>
        <w:pStyle w:val="Heading2a"/>
      </w:pPr>
      <w:r>
        <w:t>Wednesday 9 August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1F5A9784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>
        <w:t xml:space="preserve">m on </w:t>
      </w:r>
      <w:r w:rsidR="0080194A">
        <w:t>Wednesday 9 August 2023.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7567C868" w:rsidR="00C76AB3" w:rsidRDefault="00881262" w:rsidP="00C76AB3">
      <w:pPr>
        <w:pStyle w:val="Heading2a"/>
      </w:pPr>
      <w:r>
        <w:t>Tuesday 1</w:t>
      </w:r>
      <w:r w:rsidR="00F14B1B">
        <w:t>5</w:t>
      </w:r>
      <w:r>
        <w:t xml:space="preserve"> August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59059DFC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 </w:t>
      </w:r>
      <w:r w:rsidR="002F1F73">
        <w:t>10</w:t>
      </w:r>
      <w:r w:rsidR="00D23F13">
        <w:t xml:space="preserve"> </w:t>
      </w:r>
      <w:r w:rsidR="002F1F73">
        <w:t xml:space="preserve">am, </w:t>
      </w:r>
      <w:r w:rsidR="002F1F73" w:rsidRPr="00D13DB6">
        <w:t>Tuesday 15 August 2023.</w:t>
      </w:r>
    </w:p>
    <w:p w14:paraId="238F8159" w14:textId="044AEF22" w:rsidR="00C76AB3" w:rsidRDefault="00B33CA4" w:rsidP="000378E4">
      <w:pPr>
        <w:pStyle w:val="BodyA"/>
      </w:pPr>
      <w:r w:rsidRPr="00132DC6">
        <w:t>The public hearing will not be held if there are no requests to speak.</w:t>
      </w:r>
    </w:p>
    <w:p w14:paraId="3CE989AF" w14:textId="0AC4C113" w:rsidR="000378E4" w:rsidRDefault="00AD5D99" w:rsidP="000378E4">
      <w:pPr>
        <w:pStyle w:val="Heading2a"/>
      </w:pPr>
      <w:r>
        <w:t>Wednesday 13 September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43C298EF" w:rsidR="00AB58D8" w:rsidRDefault="00A4094A" w:rsidP="000378E4">
      <w:pPr>
        <w:pStyle w:val="BodyA"/>
      </w:pPr>
      <w:r w:rsidRPr="00132DC6">
        <w:t xml:space="preserve">The </w:t>
      </w:r>
      <w:r>
        <w:t>review 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the </w:t>
      </w:r>
      <w:r w:rsidR="0045156E">
        <w:t xml:space="preserve">panel’s advice </w:t>
      </w:r>
      <w:r w:rsidRPr="00132DC6">
        <w:t>for the electoral structure</w:t>
      </w:r>
      <w:r>
        <w:t xml:space="preserve"> on</w:t>
      </w:r>
      <w:r w:rsidR="00C77524">
        <w:t xml:space="preserve"> </w:t>
      </w:r>
      <w:r w:rsidR="00AD5D99">
        <w:t>Wednesday 13 Sept</w:t>
      </w:r>
      <w:r w:rsidR="00F658C2">
        <w:t>ember 2023.</w:t>
      </w:r>
      <w:r w:rsidR="00C77524">
        <w:t xml:space="preserve"> </w:t>
      </w:r>
    </w:p>
    <w:p w14:paraId="48E670BE" w14:textId="611F5657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>following on from the review will apply at the October 2024</w:t>
      </w:r>
      <w:r w:rsidR="006071FE">
        <w:t xml:space="preserve"> local council</w:t>
      </w:r>
      <w:r w:rsidR="00E46822">
        <w:t xml:space="preserve"> election</w:t>
      </w:r>
      <w:r w:rsidR="006071FE">
        <w:t>s</w:t>
      </w:r>
      <w:r w:rsidR="00E46822">
        <w:t>.</w:t>
      </w:r>
    </w:p>
    <w:p w14:paraId="4B940138" w14:textId="027AFFAF" w:rsidR="00385E80" w:rsidRDefault="00385E80" w:rsidP="000378E4">
      <w:pPr>
        <w:pStyle w:val="BodyA"/>
      </w:pPr>
    </w:p>
    <w:p w14:paraId="0FDE4F03" w14:textId="229C6198" w:rsidR="00C46414" w:rsidRDefault="00C46414" w:rsidP="000378E4">
      <w:pPr>
        <w:pStyle w:val="BodyA"/>
      </w:pPr>
    </w:p>
    <w:p w14:paraId="6458D045" w14:textId="77777777" w:rsidR="00897409" w:rsidRDefault="00897409" w:rsidP="000378E4">
      <w:pPr>
        <w:pStyle w:val="BodyA"/>
      </w:pPr>
    </w:p>
    <w:p w14:paraId="6A4117C6" w14:textId="762EF589" w:rsidR="00C46414" w:rsidRDefault="00C46414" w:rsidP="000378E4">
      <w:pPr>
        <w:pStyle w:val="BodyA"/>
      </w:pPr>
    </w:p>
    <w:p w14:paraId="028E774B" w14:textId="77777777" w:rsidR="00881262" w:rsidRDefault="00881262" w:rsidP="000378E4">
      <w:pPr>
        <w:pStyle w:val="BodyA"/>
      </w:pPr>
    </w:p>
    <w:p w14:paraId="229C13E1" w14:textId="24816BEE" w:rsidR="000378E4" w:rsidRDefault="00846705" w:rsidP="00B44A6A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4B1B1632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3EFB3D7">
            <wp:simplePos x="0" y="0"/>
            <wp:positionH relativeFrom="column">
              <wp:posOffset>-28575</wp:posOffset>
            </wp:positionH>
            <wp:positionV relativeFrom="paragraph">
              <wp:posOffset>245745</wp:posOffset>
            </wp:positionV>
            <wp:extent cx="200025" cy="181610"/>
            <wp:effectExtent l="0" t="0" r="9525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</w:t>
      </w:r>
      <w:hyperlink r:id="rId11" w:tooltip="VEC homepage" w:history="1">
        <w:r w:rsidR="00BF41BB" w:rsidRPr="00BF41BB">
          <w:rPr>
            <w:rStyle w:val="Hyperlink"/>
          </w:rPr>
          <w:t>vec.vic.gov.au</w:t>
        </w:r>
      </w:hyperlink>
    </w:p>
    <w:p w14:paraId="35082C4C" w14:textId="17E4DF42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66010082" w14:textId="247B3C84" w:rsidR="00B44A6A" w:rsidRDefault="00000000" w:rsidP="00B44A6A">
      <w:pPr>
        <w:pStyle w:val="Body"/>
        <w:spacing w:after="120" w:line="240" w:lineRule="auto"/>
        <w:ind w:left="425"/>
        <w:rPr>
          <w:noProof/>
          <w:lang w:eastAsia="en-AU"/>
        </w:rPr>
      </w:pPr>
      <w:hyperlink r:id="rId12" w:tgtFrame="_blank" w:tooltip="mailto:stonnington.erapsubmissions@vec.vic.gov.au" w:history="1">
        <w:r w:rsidR="00B44A6A">
          <w:rPr>
            <w:rStyle w:val="Hyperlink"/>
          </w:rPr>
          <w:t>Stonnington.ERAPSubmissions</w:t>
        </w:r>
        <w:r w:rsidR="00D23F13">
          <w:rPr>
            <w:rStyle w:val="Hyperlink"/>
          </w:rPr>
          <w:br/>
        </w:r>
        <w:r w:rsidR="00B44A6A">
          <w:rPr>
            <w:rStyle w:val="Hyperlink"/>
          </w:rPr>
          <w:t>@vec.vic.gov.au</w:t>
        </w:r>
      </w:hyperlink>
    </w:p>
    <w:p w14:paraId="6834D6CF" w14:textId="3ADE682C" w:rsidR="00BF41BB" w:rsidRPr="00BF41BB" w:rsidRDefault="00B44A6A" w:rsidP="00B44A6A">
      <w:pPr>
        <w:pStyle w:val="Body"/>
        <w:spacing w:after="120" w:line="240" w:lineRule="auto"/>
        <w:ind w:left="425"/>
        <w:rPr>
          <w:rStyle w:val="Hyperlink"/>
          <w:noProof/>
          <w:color w:val="auto"/>
          <w:u w:val="none"/>
          <w:lang w:eastAsia="en-AU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1C3F403D">
            <wp:simplePos x="0" y="0"/>
            <wp:positionH relativeFrom="column">
              <wp:posOffset>-19050</wp:posOffset>
            </wp:positionH>
            <wp:positionV relativeFrom="paragraph">
              <wp:posOffset>1905</wp:posOffset>
            </wp:positionV>
            <wp:extent cx="200025" cy="133350"/>
            <wp:effectExtent l="0" t="0" r="9525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1BB" w:rsidRPr="00BF41BB">
        <w:rPr>
          <w:rStyle w:val="Hyperlink"/>
          <w:color w:val="auto"/>
          <w:u w:val="none"/>
        </w:rPr>
        <w:t>By post to</w:t>
      </w:r>
    </w:p>
    <w:p w14:paraId="61F529E3" w14:textId="17E15ECC" w:rsidR="00BF41BB" w:rsidRDefault="00BF41BB" w:rsidP="00BF41BB">
      <w:pPr>
        <w:pStyle w:val="Body"/>
        <w:spacing w:after="120" w:line="240" w:lineRule="auto"/>
        <w:ind w:left="426"/>
      </w:pPr>
      <w:r>
        <w:t>Electoral Representation Advisory Panel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0678C3A1" w:rsidR="000378E4" w:rsidRDefault="000378E4" w:rsidP="00B44A6A">
      <w:pPr>
        <w:pStyle w:val="Body"/>
        <w:spacing w:after="12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14" w:tooltip="VEC Privacy webpag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F658C2">
      <w:pPr>
        <w:pStyle w:val="Heading2"/>
        <w:spacing w:after="80"/>
      </w:pPr>
      <w:r>
        <w:t>Submission guide</w:t>
      </w:r>
    </w:p>
    <w:p w14:paraId="4EB63A9B" w14:textId="48DDF603" w:rsidR="000378E4" w:rsidRPr="003214D1" w:rsidRDefault="000378E4" w:rsidP="00B44A6A">
      <w:pPr>
        <w:pStyle w:val="Body"/>
        <w:spacing w:after="120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15" w:tooltip="VEC home page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F658C2">
      <w:pPr>
        <w:pStyle w:val="Heading2"/>
        <w:spacing w:after="80"/>
      </w:pPr>
      <w:r>
        <w:t xml:space="preserve">One vote, one value </w:t>
      </w:r>
    </w:p>
    <w:p w14:paraId="01CD03C2" w14:textId="77777777" w:rsidR="0072203E" w:rsidRDefault="0072203E" w:rsidP="00F658C2">
      <w:pPr>
        <w:pStyle w:val="Body"/>
        <w:spacing w:after="10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4D423CBC" w:rsidR="0072203E" w:rsidRPr="002528BB" w:rsidRDefault="00AB2921" w:rsidP="00F658C2">
      <w:pPr>
        <w:pStyle w:val="Body"/>
        <w:spacing w:after="10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32BBBFA4" w:rsidR="0072203E" w:rsidRDefault="0072203E" w:rsidP="00F658C2">
      <w:pPr>
        <w:pStyle w:val="Body"/>
        <w:spacing w:after="10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review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B44A6A">
      <w:pPr>
        <w:spacing w:after="12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23A38E9C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14C6833" w14:textId="54A2BFA7" w:rsidR="00E829F5" w:rsidRDefault="00300958" w:rsidP="00E829F5">
      <w:r>
        <w:rPr>
          <w:noProof/>
        </w:rPr>
        <w:drawing>
          <wp:inline distT="0" distB="0" distL="0" distR="0" wp14:anchorId="4383826D" wp14:editId="33A7B76D">
            <wp:extent cx="5943600" cy="4361661"/>
            <wp:effectExtent l="0" t="0" r="0" b="1270"/>
            <wp:docPr id="7" name="Picture 7" descr="diagram showing the current electoral structure of Stonnington City Council, with 3 wards and 3 councillors per 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 showing the current electoral structure of Stonnington City Council, with 3 wards and 3 councillors per war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187" cy="436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8D0E" w14:textId="7B912D1F" w:rsidR="00303185" w:rsidRDefault="00303185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Ward Table"/>
        <w:tblDescription w:val="Table outlining the wards in Stonnington City Council, with columns for the number of councillors, voters and deviation from the +/-10% requirement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47485D49" w:rsidR="00043421" w:rsidRPr="007C7BB3" w:rsidRDefault="005E162D" w:rsidP="00281AAD">
            <w:pPr>
              <w:spacing w:after="0" w:line="240" w:lineRule="auto"/>
            </w:pPr>
            <w:r>
              <w:t>East Ward</w:t>
            </w:r>
          </w:p>
        </w:tc>
        <w:tc>
          <w:tcPr>
            <w:tcW w:w="1710" w:type="dxa"/>
          </w:tcPr>
          <w:p w14:paraId="3E2481E2" w14:textId="59323D1B" w:rsidR="00043421" w:rsidRPr="007C7BB3" w:rsidRDefault="005E162D" w:rsidP="00281AAD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5DFBF4C6" w14:textId="242D14BF" w:rsidR="00043421" w:rsidRPr="007C7BB3" w:rsidRDefault="005E162D" w:rsidP="00281AAD">
            <w:pPr>
              <w:spacing w:after="0" w:line="240" w:lineRule="auto"/>
              <w:jc w:val="right"/>
            </w:pPr>
            <w:r>
              <w:t>29,774</w:t>
            </w:r>
          </w:p>
        </w:tc>
        <w:tc>
          <w:tcPr>
            <w:tcW w:w="1701" w:type="dxa"/>
          </w:tcPr>
          <w:p w14:paraId="52FFF372" w14:textId="72581661" w:rsidR="00043421" w:rsidRPr="007C7BB3" w:rsidRDefault="00762134" w:rsidP="00281AAD">
            <w:pPr>
              <w:spacing w:after="0" w:line="240" w:lineRule="auto"/>
              <w:jc w:val="right"/>
            </w:pPr>
            <w:r>
              <w:t>+2.88%</w:t>
            </w:r>
          </w:p>
        </w:tc>
      </w:tr>
      <w:tr w:rsidR="00043421" w:rsidRPr="007C7BB3" w14:paraId="68D8D5A2" w14:textId="5F9A7570" w:rsidTr="007A7027">
        <w:tc>
          <w:tcPr>
            <w:tcW w:w="3388" w:type="dxa"/>
          </w:tcPr>
          <w:p w14:paraId="67BDED46" w14:textId="1A88D657" w:rsidR="00043421" w:rsidRPr="007C7BB3" w:rsidRDefault="005E162D" w:rsidP="00281AAD">
            <w:pPr>
              <w:spacing w:after="0" w:line="240" w:lineRule="auto"/>
            </w:pPr>
            <w:r>
              <w:t>North Ward</w:t>
            </w:r>
          </w:p>
        </w:tc>
        <w:tc>
          <w:tcPr>
            <w:tcW w:w="1710" w:type="dxa"/>
          </w:tcPr>
          <w:p w14:paraId="7C447210" w14:textId="775F129E" w:rsidR="00043421" w:rsidRPr="007C7BB3" w:rsidRDefault="005E162D" w:rsidP="00281AAD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5E42FE41" w14:textId="3C282272" w:rsidR="00043421" w:rsidRPr="007C7BB3" w:rsidRDefault="005E162D" w:rsidP="00281AAD">
            <w:pPr>
              <w:spacing w:after="0" w:line="240" w:lineRule="auto"/>
              <w:jc w:val="right"/>
            </w:pPr>
            <w:r>
              <w:t>30,176</w:t>
            </w:r>
          </w:p>
        </w:tc>
        <w:tc>
          <w:tcPr>
            <w:tcW w:w="1701" w:type="dxa"/>
          </w:tcPr>
          <w:p w14:paraId="43982C12" w14:textId="260F6BD0" w:rsidR="00043421" w:rsidRPr="007C7BB3" w:rsidRDefault="00762134" w:rsidP="00281AAD">
            <w:pPr>
              <w:spacing w:after="0" w:line="240" w:lineRule="auto"/>
              <w:jc w:val="right"/>
            </w:pPr>
            <w:r>
              <w:t>+4.27%</w:t>
            </w:r>
          </w:p>
        </w:tc>
      </w:tr>
      <w:tr w:rsidR="00043421" w:rsidRPr="007C7BB3" w14:paraId="3C20BEAB" w14:textId="18281C5B" w:rsidTr="007A7027">
        <w:tc>
          <w:tcPr>
            <w:tcW w:w="3388" w:type="dxa"/>
          </w:tcPr>
          <w:p w14:paraId="61889193" w14:textId="4BC82B4E" w:rsidR="00043421" w:rsidRPr="007C7BB3" w:rsidRDefault="005E162D" w:rsidP="00281AAD">
            <w:pPr>
              <w:spacing w:after="0" w:line="240" w:lineRule="auto"/>
            </w:pPr>
            <w:r>
              <w:t>South Ward</w:t>
            </w:r>
          </w:p>
        </w:tc>
        <w:tc>
          <w:tcPr>
            <w:tcW w:w="1710" w:type="dxa"/>
          </w:tcPr>
          <w:p w14:paraId="4F45998E" w14:textId="155A2120" w:rsidR="00043421" w:rsidRPr="007C7BB3" w:rsidRDefault="005E162D" w:rsidP="00281AAD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62D34593" w14:textId="23DB3180" w:rsidR="00043421" w:rsidRPr="007C7BB3" w:rsidRDefault="005E162D" w:rsidP="00281AAD">
            <w:pPr>
              <w:spacing w:after="0" w:line="240" w:lineRule="auto"/>
              <w:jc w:val="right"/>
            </w:pPr>
            <w:r>
              <w:t>26,871</w:t>
            </w:r>
          </w:p>
        </w:tc>
        <w:tc>
          <w:tcPr>
            <w:tcW w:w="1701" w:type="dxa"/>
          </w:tcPr>
          <w:p w14:paraId="55D48921" w14:textId="0EC489A2" w:rsidR="00043421" w:rsidRPr="007C7BB3" w:rsidRDefault="00762134" w:rsidP="00281AAD">
            <w:pPr>
              <w:spacing w:after="0" w:line="240" w:lineRule="auto"/>
              <w:jc w:val="right"/>
            </w:pPr>
            <w:r>
              <w:t>-7.15%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1C14DCB2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33757B">
        <w:t>26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7C733DC7" w:rsidR="00E36B4A" w:rsidRDefault="00E36B4A" w:rsidP="00E36B4A">
      <w:pPr>
        <w:pStyle w:val="Heading3"/>
      </w:pPr>
      <w:r>
        <w:t>Voter</w:t>
      </w:r>
      <w:r w:rsidR="00794AEA">
        <w:t>s per square</w:t>
      </w:r>
      <w:r>
        <w:t xml:space="preserve"> km</w:t>
      </w:r>
    </w:p>
    <w:p w14:paraId="2A013E8B" w14:textId="06D8CA74" w:rsidR="00E36B4A" w:rsidRDefault="0033757B" w:rsidP="00E36B4A">
      <w:pPr>
        <w:pStyle w:val="Body"/>
      </w:pPr>
      <w:r w:rsidRPr="0033757B">
        <w:t xml:space="preserve">3,339.3 </w:t>
      </w:r>
    </w:p>
    <w:p w14:paraId="0CC91DC9" w14:textId="77777777" w:rsidR="00E36B4A" w:rsidRPr="001654A8" w:rsidRDefault="00E36B4A" w:rsidP="00E36B4A">
      <w:pPr>
        <w:pStyle w:val="Heading3"/>
      </w:pPr>
      <w:r>
        <w:t>Average voters per councillor</w:t>
      </w:r>
    </w:p>
    <w:p w14:paraId="0FF6C694" w14:textId="2DFFC01D" w:rsidR="00D4462E" w:rsidRPr="001654A8" w:rsidRDefault="001654A8" w:rsidP="00881EBC">
      <w:r w:rsidRPr="001654A8">
        <w:t>9,646</w:t>
      </w:r>
      <w:r w:rsidR="00846705" w:rsidRPr="001654A8">
        <w:br w:type="column"/>
      </w:r>
    </w:p>
    <w:p w14:paraId="08544C44" w14:textId="73F6B791" w:rsidR="00A66B53" w:rsidRPr="001654A8" w:rsidRDefault="00A66B53" w:rsidP="00D96125">
      <w:pPr>
        <w:pStyle w:val="Body"/>
        <w:spacing w:after="120"/>
        <w:ind w:right="91"/>
      </w:pPr>
    </w:p>
    <w:p w14:paraId="742D206E" w14:textId="0A2481C4" w:rsidR="00846705" w:rsidRPr="001654A8" w:rsidRDefault="004B7D1A" w:rsidP="004B7D1A">
      <w:pPr>
        <w:pStyle w:val="Heading2a"/>
      </w:pPr>
      <w:r w:rsidRPr="001654A8">
        <w:t>Population</w:t>
      </w:r>
    </w:p>
    <w:p w14:paraId="3E7B7AC7" w14:textId="3A658AA9" w:rsidR="00846705" w:rsidRPr="001654A8" w:rsidRDefault="004B7D1A" w:rsidP="004B7D1A">
      <w:pPr>
        <w:pStyle w:val="Heading3"/>
      </w:pPr>
      <w:r w:rsidRPr="001654A8">
        <w:t>Current population</w:t>
      </w:r>
    </w:p>
    <w:p w14:paraId="64854604" w14:textId="39687491" w:rsidR="004B7D1A" w:rsidRPr="001654A8" w:rsidRDefault="003A0B6F" w:rsidP="00846705">
      <w:pPr>
        <w:pStyle w:val="Body"/>
      </w:pPr>
      <w:r>
        <w:t>104,703</w:t>
      </w:r>
    </w:p>
    <w:p w14:paraId="4D90972F" w14:textId="68544671" w:rsidR="004B7D1A" w:rsidRPr="001654A8" w:rsidRDefault="004B7D1A" w:rsidP="004B7D1A">
      <w:pPr>
        <w:pStyle w:val="Heading3"/>
      </w:pPr>
      <w:r w:rsidRPr="001654A8">
        <w:t>Forecast population growth</w:t>
      </w:r>
    </w:p>
    <w:p w14:paraId="041F4535" w14:textId="41C19064" w:rsidR="004B7D1A" w:rsidRPr="001654A8" w:rsidRDefault="001654A8" w:rsidP="004B7D1A">
      <w:r w:rsidRPr="001654A8">
        <w:t>1</w:t>
      </w:r>
      <w:r w:rsidR="004B7D1A" w:rsidRPr="001654A8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22F1120B" w:rsidR="00846705" w:rsidRPr="00D04155" w:rsidRDefault="004B7D1A" w:rsidP="00B316AF">
      <w:pPr>
        <w:pStyle w:val="Body"/>
        <w:jc w:val="right"/>
      </w:pPr>
      <w:r w:rsidRPr="001D11ED">
        <w:t xml:space="preserve">Further census statistics available at </w:t>
      </w:r>
      <w:hyperlink r:id="rId17" w:tooltip="ABS website" w:history="1">
        <w:r w:rsidR="00794AEA" w:rsidRPr="00D04155">
          <w:rPr>
            <w:rStyle w:val="Hyperlink"/>
          </w:rPr>
          <w:t>abs.gov.au</w:t>
        </w:r>
      </w:hyperlink>
      <w:r w:rsidR="00794AEA">
        <w:t xml:space="preserve"> </w:t>
      </w:r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18BEEE1A" w14:textId="77777777" w:rsidR="00450B7E" w:rsidRDefault="00450B7E" w:rsidP="00450B7E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61315" behindDoc="0" locked="0" layoutInCell="1" allowOverlap="1" wp14:anchorId="6FC121F3" wp14:editId="6EDF550D">
            <wp:simplePos x="0" y="0"/>
            <wp:positionH relativeFrom="margin">
              <wp:posOffset>615315</wp:posOffset>
            </wp:positionH>
            <wp:positionV relativeFrom="paragraph">
              <wp:posOffset>423545</wp:posOffset>
            </wp:positionV>
            <wp:extent cx="8144510" cy="5798820"/>
            <wp:effectExtent l="0" t="0" r="8890" b="0"/>
            <wp:wrapSquare wrapText="bothSides"/>
            <wp:docPr id="8" name="Picture 8" descr="A diagram of the localities and population of localities found in Stonnington City Council. This information is also found in the table on the next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diagram of the localities and population of localities found in Stonnington City Council. This information is also found in the table on the next page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51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0AE">
        <w:t>Voter numbers by locality</w:t>
      </w:r>
      <w:r>
        <w:t xml:space="preserve"> (map)</w:t>
      </w:r>
    </w:p>
    <w:p w14:paraId="5067F997" w14:textId="77777777" w:rsidR="006C62A2" w:rsidRDefault="006C62A2" w:rsidP="00300958">
      <w:pPr>
        <w:pStyle w:val="Heading1A"/>
        <w:sectPr w:rsidR="006C62A2" w:rsidSect="00A51DFB">
          <w:footerReference w:type="default" r:id="rId19"/>
          <w:type w:val="continuous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p w14:paraId="24DDBB3E" w14:textId="099DC63B" w:rsidR="00300958" w:rsidRPr="003730AE" w:rsidRDefault="00300958" w:rsidP="00721F36">
      <w:pPr>
        <w:pStyle w:val="Heading1A"/>
        <w:ind w:left="142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>
        <w:t xml:space="preserve"> (table)</w:t>
      </w:r>
    </w:p>
    <w:p w14:paraId="2FF01A8D" w14:textId="10BD54DF" w:rsidR="00300958" w:rsidRDefault="00300958" w:rsidP="00721F36">
      <w:pPr>
        <w:pStyle w:val="Heading2"/>
        <w:ind w:left="142"/>
      </w:pPr>
      <w:r w:rsidRPr="005B4E32">
        <w:rPr>
          <w:bCs/>
          <w:color w:val="auto"/>
          <w:szCs w:val="20"/>
        </w:rPr>
        <w:t>Stonnington City Council</w:t>
      </w:r>
      <w:r>
        <w:rPr>
          <w:bCs/>
          <w:color w:val="FFFFFF" w:themeColor="background1"/>
          <w:szCs w:val="20"/>
        </w:rPr>
        <w:t xml:space="preserve"> </w:t>
      </w:r>
      <w:r>
        <w:t>voter numbers at 30 March 2023</w:t>
      </w:r>
    </w:p>
    <w:tbl>
      <w:tblPr>
        <w:tblStyle w:val="TableGrid"/>
        <w:tblpPr w:leftFromText="180" w:rightFromText="180" w:vertAnchor="text" w:horzAnchor="page" w:tblpX="1199" w:tblpY="84"/>
        <w:tblOverlap w:val="never"/>
        <w:tblW w:w="0" w:type="auto"/>
        <w:tblLook w:val="04A0" w:firstRow="1" w:lastRow="0" w:firstColumn="1" w:lastColumn="0" w:noHBand="0" w:noVBand="1"/>
        <w:tblCaption w:val="Locality table"/>
        <w:tblDescription w:val="Table listing the localities of Stonnington City Council and the voters in each locality"/>
      </w:tblPr>
      <w:tblGrid>
        <w:gridCol w:w="2376"/>
        <w:gridCol w:w="1447"/>
      </w:tblGrid>
      <w:tr w:rsidR="00E76307" w14:paraId="120AA1E4" w14:textId="77777777" w:rsidTr="00643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06F4EC6A" w14:textId="77777777" w:rsidR="00E76307" w:rsidRPr="00721F36" w:rsidRDefault="00E76307" w:rsidP="00E763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Locality</w:t>
            </w:r>
          </w:p>
        </w:tc>
        <w:tc>
          <w:tcPr>
            <w:tcW w:w="1447" w:type="dxa"/>
            <w:shd w:val="clear" w:color="auto" w:fill="30285A"/>
            <w:vAlign w:val="center"/>
          </w:tcPr>
          <w:p w14:paraId="7D1E64B6" w14:textId="77777777" w:rsidR="00E76307" w:rsidRPr="00721F36" w:rsidRDefault="00E76307" w:rsidP="00E763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Voters</w:t>
            </w:r>
          </w:p>
        </w:tc>
      </w:tr>
      <w:tr w:rsidR="00643993" w14:paraId="4FA3F3AE" w14:textId="77777777" w:rsidTr="00643993">
        <w:tc>
          <w:tcPr>
            <w:tcW w:w="2376" w:type="dxa"/>
          </w:tcPr>
          <w:p w14:paraId="3CF16066" w14:textId="70B7F189" w:rsidR="00643993" w:rsidRPr="00721F36" w:rsidRDefault="00643993" w:rsidP="00643993">
            <w:pPr>
              <w:spacing w:after="0" w:line="240" w:lineRule="auto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Armadale</w:t>
            </w:r>
          </w:p>
        </w:tc>
        <w:tc>
          <w:tcPr>
            <w:tcW w:w="1447" w:type="dxa"/>
          </w:tcPr>
          <w:p w14:paraId="130C0837" w14:textId="5BBA1B1D" w:rsidR="00643993" w:rsidRPr="00721F36" w:rsidRDefault="00643993" w:rsidP="006439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 xml:space="preserve"> 7,802 </w:t>
            </w:r>
          </w:p>
        </w:tc>
      </w:tr>
      <w:tr w:rsidR="00643993" w14:paraId="200889DB" w14:textId="77777777" w:rsidTr="00643993">
        <w:tc>
          <w:tcPr>
            <w:tcW w:w="2376" w:type="dxa"/>
          </w:tcPr>
          <w:p w14:paraId="5FC841E9" w14:textId="17B0AD39" w:rsidR="00643993" w:rsidRPr="00721F36" w:rsidRDefault="00643993" w:rsidP="00643993">
            <w:pPr>
              <w:spacing w:after="0" w:line="240" w:lineRule="auto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Glen Iris</w:t>
            </w:r>
          </w:p>
        </w:tc>
        <w:tc>
          <w:tcPr>
            <w:tcW w:w="1447" w:type="dxa"/>
          </w:tcPr>
          <w:p w14:paraId="20957079" w14:textId="6FF224F8" w:rsidR="00643993" w:rsidRPr="00721F36" w:rsidRDefault="00643993" w:rsidP="006439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 xml:space="preserve"> 7,428 </w:t>
            </w:r>
          </w:p>
        </w:tc>
      </w:tr>
      <w:tr w:rsidR="00643993" w14:paraId="0FAA0ABD" w14:textId="77777777" w:rsidTr="00643993">
        <w:tc>
          <w:tcPr>
            <w:tcW w:w="2376" w:type="dxa"/>
          </w:tcPr>
          <w:p w14:paraId="029D5D5F" w14:textId="7CD27839" w:rsidR="00643993" w:rsidRPr="00721F36" w:rsidRDefault="00643993" w:rsidP="00643993">
            <w:pPr>
              <w:spacing w:after="0" w:line="240" w:lineRule="auto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Kooyong</w:t>
            </w:r>
          </w:p>
        </w:tc>
        <w:tc>
          <w:tcPr>
            <w:tcW w:w="1447" w:type="dxa"/>
          </w:tcPr>
          <w:p w14:paraId="6A13AB93" w14:textId="315B1C04" w:rsidR="00643993" w:rsidRPr="00721F36" w:rsidRDefault="00643993" w:rsidP="006439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 xml:space="preserve"> 688 </w:t>
            </w:r>
          </w:p>
        </w:tc>
      </w:tr>
      <w:tr w:rsidR="00643993" w14:paraId="1BF685A2" w14:textId="77777777" w:rsidTr="00643993">
        <w:tc>
          <w:tcPr>
            <w:tcW w:w="2376" w:type="dxa"/>
          </w:tcPr>
          <w:p w14:paraId="096AA119" w14:textId="2F64079C" w:rsidR="00643993" w:rsidRPr="00721F36" w:rsidRDefault="00643993" w:rsidP="00643993">
            <w:pPr>
              <w:spacing w:after="0" w:line="240" w:lineRule="auto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Malvern</w:t>
            </w:r>
          </w:p>
        </w:tc>
        <w:tc>
          <w:tcPr>
            <w:tcW w:w="1447" w:type="dxa"/>
          </w:tcPr>
          <w:p w14:paraId="5AB2E48B" w14:textId="2B84AF2F" w:rsidR="00643993" w:rsidRPr="00721F36" w:rsidRDefault="00643993" w:rsidP="006439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 xml:space="preserve"> 8,153 </w:t>
            </w:r>
          </w:p>
        </w:tc>
      </w:tr>
      <w:tr w:rsidR="00643993" w14:paraId="7DD0C033" w14:textId="77777777" w:rsidTr="00643993">
        <w:tc>
          <w:tcPr>
            <w:tcW w:w="2376" w:type="dxa"/>
          </w:tcPr>
          <w:p w14:paraId="5B716939" w14:textId="66AEF72A" w:rsidR="00643993" w:rsidRPr="00721F36" w:rsidRDefault="00643993" w:rsidP="00643993">
            <w:pPr>
              <w:spacing w:after="0" w:line="240" w:lineRule="auto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Malvern East</w:t>
            </w:r>
          </w:p>
        </w:tc>
        <w:tc>
          <w:tcPr>
            <w:tcW w:w="1447" w:type="dxa"/>
          </w:tcPr>
          <w:p w14:paraId="28DE9397" w14:textId="614CFF44" w:rsidR="00643993" w:rsidRPr="00721F36" w:rsidRDefault="00643993" w:rsidP="006439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 xml:space="preserve"> 16,562 </w:t>
            </w:r>
          </w:p>
        </w:tc>
      </w:tr>
      <w:tr w:rsidR="00643993" w14:paraId="170D8950" w14:textId="77777777" w:rsidTr="00643993">
        <w:tc>
          <w:tcPr>
            <w:tcW w:w="2376" w:type="dxa"/>
          </w:tcPr>
          <w:p w14:paraId="4C6A5525" w14:textId="77777777" w:rsidR="00643993" w:rsidRPr="00721F36" w:rsidRDefault="00643993" w:rsidP="00643993">
            <w:pPr>
              <w:spacing w:after="0" w:line="240" w:lineRule="auto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Prahran</w:t>
            </w:r>
          </w:p>
        </w:tc>
        <w:tc>
          <w:tcPr>
            <w:tcW w:w="1447" w:type="dxa"/>
          </w:tcPr>
          <w:p w14:paraId="26514695" w14:textId="77777777" w:rsidR="00643993" w:rsidRPr="00721F36" w:rsidRDefault="00643993" w:rsidP="006439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 xml:space="preserve"> 11,010 </w:t>
            </w:r>
          </w:p>
        </w:tc>
      </w:tr>
      <w:tr w:rsidR="00643993" w14:paraId="637904F4" w14:textId="77777777" w:rsidTr="00643993">
        <w:tc>
          <w:tcPr>
            <w:tcW w:w="2376" w:type="dxa"/>
          </w:tcPr>
          <w:p w14:paraId="7D598AF7" w14:textId="148A4D97" w:rsidR="00643993" w:rsidRPr="00721F36" w:rsidRDefault="00643993" w:rsidP="00643993">
            <w:pPr>
              <w:spacing w:after="0" w:line="240" w:lineRule="auto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South Yarra</w:t>
            </w:r>
          </w:p>
        </w:tc>
        <w:tc>
          <w:tcPr>
            <w:tcW w:w="1447" w:type="dxa"/>
          </w:tcPr>
          <w:p w14:paraId="6F351BD1" w14:textId="18CF635D" w:rsidR="00643993" w:rsidRPr="00721F36" w:rsidRDefault="00643993" w:rsidP="006439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 xml:space="preserve"> 18,624 </w:t>
            </w:r>
          </w:p>
        </w:tc>
      </w:tr>
      <w:tr w:rsidR="00643993" w14:paraId="59D046E5" w14:textId="77777777" w:rsidTr="00643993">
        <w:tc>
          <w:tcPr>
            <w:tcW w:w="2376" w:type="dxa"/>
          </w:tcPr>
          <w:p w14:paraId="34BFF15D" w14:textId="3803EDF8" w:rsidR="00643993" w:rsidRPr="00721F36" w:rsidRDefault="00643993" w:rsidP="00643993">
            <w:pPr>
              <w:spacing w:after="0" w:line="240" w:lineRule="auto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Toorak</w:t>
            </w:r>
          </w:p>
        </w:tc>
        <w:tc>
          <w:tcPr>
            <w:tcW w:w="1447" w:type="dxa"/>
          </w:tcPr>
          <w:p w14:paraId="429B45C4" w14:textId="09CD2661" w:rsidR="00643993" w:rsidRPr="00721F36" w:rsidRDefault="00643993" w:rsidP="006439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 xml:space="preserve"> 10,783 </w:t>
            </w:r>
          </w:p>
        </w:tc>
      </w:tr>
      <w:tr w:rsidR="00643993" w14:paraId="51A31D4C" w14:textId="77777777" w:rsidTr="00643993">
        <w:tc>
          <w:tcPr>
            <w:tcW w:w="2376" w:type="dxa"/>
          </w:tcPr>
          <w:p w14:paraId="263C9F1A" w14:textId="0F8567A6" w:rsidR="00643993" w:rsidRPr="00721F36" w:rsidRDefault="00643993" w:rsidP="00643993">
            <w:pPr>
              <w:spacing w:after="0" w:line="240" w:lineRule="auto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>Windsor</w:t>
            </w:r>
          </w:p>
        </w:tc>
        <w:tc>
          <w:tcPr>
            <w:tcW w:w="1447" w:type="dxa"/>
          </w:tcPr>
          <w:p w14:paraId="7EB06F19" w14:textId="0BE5F531" w:rsidR="00643993" w:rsidRPr="00721F36" w:rsidRDefault="00643993" w:rsidP="006439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21F36">
              <w:rPr>
                <w:sz w:val="24"/>
                <w:szCs w:val="24"/>
              </w:rPr>
              <w:t xml:space="preserve"> 5,771 </w:t>
            </w:r>
          </w:p>
        </w:tc>
      </w:tr>
    </w:tbl>
    <w:p w14:paraId="2685BF5C" w14:textId="54E47E9F" w:rsidR="00300958" w:rsidRDefault="00300958" w:rsidP="00193AE4"/>
    <w:sectPr w:rsidR="00300958" w:rsidSect="00721F36">
      <w:footerReference w:type="default" r:id="rId20"/>
      <w:pgSz w:w="11906" w:h="16838" w:code="9"/>
      <w:pgMar w:top="1135" w:right="1134" w:bottom="1134" w:left="73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B52F" w14:textId="77777777" w:rsidR="005875A9" w:rsidRDefault="005875A9" w:rsidP="00665F91">
      <w:r>
        <w:separator/>
      </w:r>
    </w:p>
  </w:endnote>
  <w:endnote w:type="continuationSeparator" w:id="0">
    <w:p w14:paraId="43E46F36" w14:textId="77777777" w:rsidR="005875A9" w:rsidRDefault="005875A9" w:rsidP="00665F91">
      <w:r>
        <w:continuationSeparator/>
      </w:r>
    </w:p>
  </w:endnote>
  <w:endnote w:type="continuationNotice" w:id="1">
    <w:p w14:paraId="510DA25A" w14:textId="77777777" w:rsidR="005875A9" w:rsidRDefault="00587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680C" w14:textId="3BECC5B5" w:rsidR="00983B00" w:rsidRDefault="00983B00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2CEF9337" wp14:editId="7DEF6C62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2091" w14:textId="770C2992" w:rsidR="00AF6E80" w:rsidRDefault="00AF6E80" w:rsidP="00AF6E80">
    <w:pPr>
      <w:pStyle w:val="Footer"/>
      <w:pBdr>
        <w:top w:val="single" w:sz="4" w:space="1" w:color="auto"/>
      </w:pBdr>
      <w:tabs>
        <w:tab w:val="clear" w:pos="9026"/>
        <w:tab w:val="right" w:pos="10035"/>
      </w:tabs>
    </w:pPr>
    <w:r>
      <w:rPr>
        <w:noProof/>
      </w:rPr>
      <w:drawing>
        <wp:inline distT="0" distB="0" distL="0" distR="0" wp14:anchorId="00A64022" wp14:editId="04F70995">
          <wp:extent cx="2543175" cy="282574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C513" w14:textId="77777777" w:rsidR="005875A9" w:rsidRDefault="005875A9" w:rsidP="00665F91">
      <w:r>
        <w:separator/>
      </w:r>
    </w:p>
  </w:footnote>
  <w:footnote w:type="continuationSeparator" w:id="0">
    <w:p w14:paraId="4BFE604A" w14:textId="77777777" w:rsidR="005875A9" w:rsidRDefault="005875A9" w:rsidP="00665F91">
      <w:r>
        <w:continuationSeparator/>
      </w:r>
    </w:p>
  </w:footnote>
  <w:footnote w:type="continuationNotice" w:id="1">
    <w:p w14:paraId="17F75C2D" w14:textId="77777777" w:rsidR="005875A9" w:rsidRDefault="005875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13720">
    <w:abstractNumId w:val="5"/>
  </w:num>
  <w:num w:numId="2" w16cid:durableId="2018649608">
    <w:abstractNumId w:val="1"/>
  </w:num>
  <w:num w:numId="3" w16cid:durableId="1834102456">
    <w:abstractNumId w:val="7"/>
  </w:num>
  <w:num w:numId="4" w16cid:durableId="585924384">
    <w:abstractNumId w:val="6"/>
  </w:num>
  <w:num w:numId="5" w16cid:durableId="720439227">
    <w:abstractNumId w:val="0"/>
  </w:num>
  <w:num w:numId="6" w16cid:durableId="394403269">
    <w:abstractNumId w:val="3"/>
  </w:num>
  <w:num w:numId="7" w16cid:durableId="1234196211">
    <w:abstractNumId w:val="8"/>
  </w:num>
  <w:num w:numId="8" w16cid:durableId="1843203901">
    <w:abstractNumId w:val="2"/>
  </w:num>
  <w:num w:numId="9" w16cid:durableId="1107971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7254"/>
    <w:rsid w:val="000076F3"/>
    <w:rsid w:val="00007F79"/>
    <w:rsid w:val="00010993"/>
    <w:rsid w:val="00011FA0"/>
    <w:rsid w:val="00013529"/>
    <w:rsid w:val="00025831"/>
    <w:rsid w:val="000273AA"/>
    <w:rsid w:val="000378E4"/>
    <w:rsid w:val="00037C09"/>
    <w:rsid w:val="000433C2"/>
    <w:rsid w:val="00043421"/>
    <w:rsid w:val="0004744F"/>
    <w:rsid w:val="00047BD8"/>
    <w:rsid w:val="0005025F"/>
    <w:rsid w:val="00052A15"/>
    <w:rsid w:val="00060A5A"/>
    <w:rsid w:val="00063928"/>
    <w:rsid w:val="0006426F"/>
    <w:rsid w:val="00082D3B"/>
    <w:rsid w:val="00085F24"/>
    <w:rsid w:val="000867EE"/>
    <w:rsid w:val="00086A4A"/>
    <w:rsid w:val="00087F91"/>
    <w:rsid w:val="00090761"/>
    <w:rsid w:val="0009344D"/>
    <w:rsid w:val="000942E6"/>
    <w:rsid w:val="00094704"/>
    <w:rsid w:val="000B2E34"/>
    <w:rsid w:val="000B56A8"/>
    <w:rsid w:val="000B5D80"/>
    <w:rsid w:val="000B7348"/>
    <w:rsid w:val="000D1C44"/>
    <w:rsid w:val="000D1E1A"/>
    <w:rsid w:val="000E0A4B"/>
    <w:rsid w:val="000E7203"/>
    <w:rsid w:val="000F76B6"/>
    <w:rsid w:val="00121C83"/>
    <w:rsid w:val="00122E13"/>
    <w:rsid w:val="00132435"/>
    <w:rsid w:val="00132DC6"/>
    <w:rsid w:val="0013367A"/>
    <w:rsid w:val="00136884"/>
    <w:rsid w:val="00140337"/>
    <w:rsid w:val="001469A4"/>
    <w:rsid w:val="00147658"/>
    <w:rsid w:val="001557DA"/>
    <w:rsid w:val="00157E83"/>
    <w:rsid w:val="001654A8"/>
    <w:rsid w:val="00173C8A"/>
    <w:rsid w:val="001773CC"/>
    <w:rsid w:val="001808F0"/>
    <w:rsid w:val="00181975"/>
    <w:rsid w:val="00186597"/>
    <w:rsid w:val="00191176"/>
    <w:rsid w:val="00191BE3"/>
    <w:rsid w:val="00193AE4"/>
    <w:rsid w:val="001957B1"/>
    <w:rsid w:val="00195FA2"/>
    <w:rsid w:val="001A00BE"/>
    <w:rsid w:val="001A1B9E"/>
    <w:rsid w:val="001A500D"/>
    <w:rsid w:val="001A6F98"/>
    <w:rsid w:val="001B14C0"/>
    <w:rsid w:val="001B6733"/>
    <w:rsid w:val="001C2597"/>
    <w:rsid w:val="001D11ED"/>
    <w:rsid w:val="001D6FBC"/>
    <w:rsid w:val="001E0052"/>
    <w:rsid w:val="001E0C71"/>
    <w:rsid w:val="001E6B21"/>
    <w:rsid w:val="001F2312"/>
    <w:rsid w:val="001F2777"/>
    <w:rsid w:val="001F32B9"/>
    <w:rsid w:val="001F7026"/>
    <w:rsid w:val="00202E3A"/>
    <w:rsid w:val="002109AD"/>
    <w:rsid w:val="00214AE7"/>
    <w:rsid w:val="00215B1D"/>
    <w:rsid w:val="00227530"/>
    <w:rsid w:val="002507C5"/>
    <w:rsid w:val="0025212F"/>
    <w:rsid w:val="002528BB"/>
    <w:rsid w:val="0026053F"/>
    <w:rsid w:val="0026150E"/>
    <w:rsid w:val="00262368"/>
    <w:rsid w:val="00274D03"/>
    <w:rsid w:val="0027708F"/>
    <w:rsid w:val="002779D5"/>
    <w:rsid w:val="00280596"/>
    <w:rsid w:val="002941A0"/>
    <w:rsid w:val="002A11CD"/>
    <w:rsid w:val="002A763F"/>
    <w:rsid w:val="002B2829"/>
    <w:rsid w:val="002B2DDA"/>
    <w:rsid w:val="002C155C"/>
    <w:rsid w:val="002C3FB1"/>
    <w:rsid w:val="002C6760"/>
    <w:rsid w:val="002D55D8"/>
    <w:rsid w:val="002E3548"/>
    <w:rsid w:val="002F1F73"/>
    <w:rsid w:val="002F4763"/>
    <w:rsid w:val="00300958"/>
    <w:rsid w:val="003011AE"/>
    <w:rsid w:val="00303185"/>
    <w:rsid w:val="003033FC"/>
    <w:rsid w:val="00306648"/>
    <w:rsid w:val="0031024F"/>
    <w:rsid w:val="00312E4E"/>
    <w:rsid w:val="00315C79"/>
    <w:rsid w:val="0032269C"/>
    <w:rsid w:val="0032506E"/>
    <w:rsid w:val="00330F62"/>
    <w:rsid w:val="0033757B"/>
    <w:rsid w:val="00337881"/>
    <w:rsid w:val="0034417D"/>
    <w:rsid w:val="00344E9F"/>
    <w:rsid w:val="00357BE0"/>
    <w:rsid w:val="00361394"/>
    <w:rsid w:val="003629AD"/>
    <w:rsid w:val="00370349"/>
    <w:rsid w:val="00373075"/>
    <w:rsid w:val="003730AE"/>
    <w:rsid w:val="00385751"/>
    <w:rsid w:val="003859CB"/>
    <w:rsid w:val="00385CCD"/>
    <w:rsid w:val="00385E80"/>
    <w:rsid w:val="00387BE4"/>
    <w:rsid w:val="00392C32"/>
    <w:rsid w:val="003A046E"/>
    <w:rsid w:val="003A0B6F"/>
    <w:rsid w:val="003A14C0"/>
    <w:rsid w:val="003A774E"/>
    <w:rsid w:val="003B39C6"/>
    <w:rsid w:val="003C13AC"/>
    <w:rsid w:val="003C4B77"/>
    <w:rsid w:val="003D053D"/>
    <w:rsid w:val="003D10A3"/>
    <w:rsid w:val="003D2EEF"/>
    <w:rsid w:val="003D6EA6"/>
    <w:rsid w:val="003F1E90"/>
    <w:rsid w:val="004051A1"/>
    <w:rsid w:val="00405C5B"/>
    <w:rsid w:val="00405D67"/>
    <w:rsid w:val="00407988"/>
    <w:rsid w:val="00410B7F"/>
    <w:rsid w:val="00412438"/>
    <w:rsid w:val="00417353"/>
    <w:rsid w:val="00423446"/>
    <w:rsid w:val="00431CB7"/>
    <w:rsid w:val="004416AD"/>
    <w:rsid w:val="00442535"/>
    <w:rsid w:val="00450B7E"/>
    <w:rsid w:val="0045156E"/>
    <w:rsid w:val="00455865"/>
    <w:rsid w:val="00463A44"/>
    <w:rsid w:val="00464EB3"/>
    <w:rsid w:val="004679DA"/>
    <w:rsid w:val="0047242A"/>
    <w:rsid w:val="004731E0"/>
    <w:rsid w:val="004855CE"/>
    <w:rsid w:val="004A0EEE"/>
    <w:rsid w:val="004A7F31"/>
    <w:rsid w:val="004B0370"/>
    <w:rsid w:val="004B12CB"/>
    <w:rsid w:val="004B20C0"/>
    <w:rsid w:val="004B2D18"/>
    <w:rsid w:val="004B309B"/>
    <w:rsid w:val="004B5883"/>
    <w:rsid w:val="004B5905"/>
    <w:rsid w:val="004B7D1A"/>
    <w:rsid w:val="004C007E"/>
    <w:rsid w:val="004C6A7B"/>
    <w:rsid w:val="004C6E04"/>
    <w:rsid w:val="004D1C77"/>
    <w:rsid w:val="004D2588"/>
    <w:rsid w:val="004D5511"/>
    <w:rsid w:val="004D621B"/>
    <w:rsid w:val="004E04AC"/>
    <w:rsid w:val="004E3072"/>
    <w:rsid w:val="004E3ECD"/>
    <w:rsid w:val="004E5E6C"/>
    <w:rsid w:val="004F0EAE"/>
    <w:rsid w:val="005036FB"/>
    <w:rsid w:val="00505AB8"/>
    <w:rsid w:val="00506059"/>
    <w:rsid w:val="005118F9"/>
    <w:rsid w:val="0051594E"/>
    <w:rsid w:val="0051766D"/>
    <w:rsid w:val="0052107A"/>
    <w:rsid w:val="005270AD"/>
    <w:rsid w:val="00527A64"/>
    <w:rsid w:val="00530049"/>
    <w:rsid w:val="00530ECB"/>
    <w:rsid w:val="00533759"/>
    <w:rsid w:val="00536B37"/>
    <w:rsid w:val="00536B67"/>
    <w:rsid w:val="005371B2"/>
    <w:rsid w:val="005410AC"/>
    <w:rsid w:val="00541A64"/>
    <w:rsid w:val="00543679"/>
    <w:rsid w:val="00543739"/>
    <w:rsid w:val="0054466B"/>
    <w:rsid w:val="00550C1A"/>
    <w:rsid w:val="0055232C"/>
    <w:rsid w:val="00554EE4"/>
    <w:rsid w:val="00555802"/>
    <w:rsid w:val="0055608C"/>
    <w:rsid w:val="00560DDF"/>
    <w:rsid w:val="00563664"/>
    <w:rsid w:val="00563B29"/>
    <w:rsid w:val="00566206"/>
    <w:rsid w:val="00566D50"/>
    <w:rsid w:val="00567FDF"/>
    <w:rsid w:val="0057298A"/>
    <w:rsid w:val="00573BF1"/>
    <w:rsid w:val="00574100"/>
    <w:rsid w:val="00574181"/>
    <w:rsid w:val="0058340C"/>
    <w:rsid w:val="0058388E"/>
    <w:rsid w:val="00587028"/>
    <w:rsid w:val="005875A9"/>
    <w:rsid w:val="00587D15"/>
    <w:rsid w:val="0059213D"/>
    <w:rsid w:val="005972C6"/>
    <w:rsid w:val="005A3FC0"/>
    <w:rsid w:val="005A5824"/>
    <w:rsid w:val="005A7A95"/>
    <w:rsid w:val="005B02D2"/>
    <w:rsid w:val="005B090D"/>
    <w:rsid w:val="005B4AD6"/>
    <w:rsid w:val="005B4E32"/>
    <w:rsid w:val="005C07A6"/>
    <w:rsid w:val="005C17A7"/>
    <w:rsid w:val="005C7755"/>
    <w:rsid w:val="005D6C63"/>
    <w:rsid w:val="005D7D2F"/>
    <w:rsid w:val="005E162D"/>
    <w:rsid w:val="005E26DC"/>
    <w:rsid w:val="005E451C"/>
    <w:rsid w:val="005E5DB0"/>
    <w:rsid w:val="005E6792"/>
    <w:rsid w:val="005F0ABA"/>
    <w:rsid w:val="005F2AFB"/>
    <w:rsid w:val="006022A3"/>
    <w:rsid w:val="00603BF2"/>
    <w:rsid w:val="006071FE"/>
    <w:rsid w:val="00610697"/>
    <w:rsid w:val="006129A4"/>
    <w:rsid w:val="00621816"/>
    <w:rsid w:val="00621DEA"/>
    <w:rsid w:val="006233F8"/>
    <w:rsid w:val="006323DA"/>
    <w:rsid w:val="00632669"/>
    <w:rsid w:val="00633318"/>
    <w:rsid w:val="00633739"/>
    <w:rsid w:val="006401E4"/>
    <w:rsid w:val="00643993"/>
    <w:rsid w:val="0064634A"/>
    <w:rsid w:val="00654026"/>
    <w:rsid w:val="00654EF5"/>
    <w:rsid w:val="00660E21"/>
    <w:rsid w:val="00662011"/>
    <w:rsid w:val="0066304E"/>
    <w:rsid w:val="00664AEB"/>
    <w:rsid w:val="0066586A"/>
    <w:rsid w:val="00665F91"/>
    <w:rsid w:val="006675CB"/>
    <w:rsid w:val="0068056D"/>
    <w:rsid w:val="00683AB2"/>
    <w:rsid w:val="006873A9"/>
    <w:rsid w:val="0069327C"/>
    <w:rsid w:val="00693A9F"/>
    <w:rsid w:val="00693E89"/>
    <w:rsid w:val="006A294A"/>
    <w:rsid w:val="006A3925"/>
    <w:rsid w:val="006A4C08"/>
    <w:rsid w:val="006B2225"/>
    <w:rsid w:val="006B5323"/>
    <w:rsid w:val="006C16DF"/>
    <w:rsid w:val="006C197A"/>
    <w:rsid w:val="006C62A2"/>
    <w:rsid w:val="006D5570"/>
    <w:rsid w:val="006D729D"/>
    <w:rsid w:val="006D78DC"/>
    <w:rsid w:val="006E00C1"/>
    <w:rsid w:val="006E05C4"/>
    <w:rsid w:val="006E0B63"/>
    <w:rsid w:val="006E3BC8"/>
    <w:rsid w:val="006F0D4E"/>
    <w:rsid w:val="006F2BDD"/>
    <w:rsid w:val="006F564E"/>
    <w:rsid w:val="00700947"/>
    <w:rsid w:val="00702ECF"/>
    <w:rsid w:val="007038E7"/>
    <w:rsid w:val="00704364"/>
    <w:rsid w:val="00706BAD"/>
    <w:rsid w:val="00707861"/>
    <w:rsid w:val="00714010"/>
    <w:rsid w:val="00717A44"/>
    <w:rsid w:val="00721974"/>
    <w:rsid w:val="00721F36"/>
    <w:rsid w:val="0072203E"/>
    <w:rsid w:val="00733E34"/>
    <w:rsid w:val="0073556F"/>
    <w:rsid w:val="00752275"/>
    <w:rsid w:val="00755912"/>
    <w:rsid w:val="007574A2"/>
    <w:rsid w:val="00762134"/>
    <w:rsid w:val="007634BA"/>
    <w:rsid w:val="00773D07"/>
    <w:rsid w:val="007742D3"/>
    <w:rsid w:val="00787A2B"/>
    <w:rsid w:val="007913FB"/>
    <w:rsid w:val="00794AEA"/>
    <w:rsid w:val="007959CF"/>
    <w:rsid w:val="007A194C"/>
    <w:rsid w:val="007A1AB8"/>
    <w:rsid w:val="007A2315"/>
    <w:rsid w:val="007A40D7"/>
    <w:rsid w:val="007A7027"/>
    <w:rsid w:val="007B71EF"/>
    <w:rsid w:val="007C1C4B"/>
    <w:rsid w:val="007C6584"/>
    <w:rsid w:val="007C7BB3"/>
    <w:rsid w:val="007D2859"/>
    <w:rsid w:val="007D3CFE"/>
    <w:rsid w:val="007D4C97"/>
    <w:rsid w:val="007D4F8F"/>
    <w:rsid w:val="007D6A0B"/>
    <w:rsid w:val="007E2C2F"/>
    <w:rsid w:val="007E3730"/>
    <w:rsid w:val="007F2B53"/>
    <w:rsid w:val="007F59DB"/>
    <w:rsid w:val="0080194A"/>
    <w:rsid w:val="008070FB"/>
    <w:rsid w:val="00810548"/>
    <w:rsid w:val="00812D93"/>
    <w:rsid w:val="00817956"/>
    <w:rsid w:val="00825118"/>
    <w:rsid w:val="008276F7"/>
    <w:rsid w:val="008279E5"/>
    <w:rsid w:val="00830ACF"/>
    <w:rsid w:val="0083166F"/>
    <w:rsid w:val="0083584C"/>
    <w:rsid w:val="00835898"/>
    <w:rsid w:val="00846705"/>
    <w:rsid w:val="00852B96"/>
    <w:rsid w:val="0085407E"/>
    <w:rsid w:val="00854304"/>
    <w:rsid w:val="008619B2"/>
    <w:rsid w:val="00862776"/>
    <w:rsid w:val="00863BA9"/>
    <w:rsid w:val="0087049F"/>
    <w:rsid w:val="00871905"/>
    <w:rsid w:val="0087655E"/>
    <w:rsid w:val="00876CFA"/>
    <w:rsid w:val="00877CA0"/>
    <w:rsid w:val="00881262"/>
    <w:rsid w:val="008818FD"/>
    <w:rsid w:val="00881EBC"/>
    <w:rsid w:val="00883F89"/>
    <w:rsid w:val="0088456D"/>
    <w:rsid w:val="00890813"/>
    <w:rsid w:val="00891E09"/>
    <w:rsid w:val="00897409"/>
    <w:rsid w:val="008A186F"/>
    <w:rsid w:val="008A1CCA"/>
    <w:rsid w:val="008A2182"/>
    <w:rsid w:val="008B2746"/>
    <w:rsid w:val="008B4863"/>
    <w:rsid w:val="008B7249"/>
    <w:rsid w:val="008C4CF5"/>
    <w:rsid w:val="008C733A"/>
    <w:rsid w:val="008D2B38"/>
    <w:rsid w:val="008D2D52"/>
    <w:rsid w:val="008D3C12"/>
    <w:rsid w:val="008D57A6"/>
    <w:rsid w:val="008D5A81"/>
    <w:rsid w:val="008D6521"/>
    <w:rsid w:val="008F08CD"/>
    <w:rsid w:val="008F4CB4"/>
    <w:rsid w:val="008F573D"/>
    <w:rsid w:val="008F5B52"/>
    <w:rsid w:val="008F5E7D"/>
    <w:rsid w:val="008F68B0"/>
    <w:rsid w:val="008F7A24"/>
    <w:rsid w:val="00901954"/>
    <w:rsid w:val="009035DB"/>
    <w:rsid w:val="009048A8"/>
    <w:rsid w:val="009058BF"/>
    <w:rsid w:val="00911DF5"/>
    <w:rsid w:val="00931605"/>
    <w:rsid w:val="00932378"/>
    <w:rsid w:val="009350BC"/>
    <w:rsid w:val="009440A9"/>
    <w:rsid w:val="0094664A"/>
    <w:rsid w:val="0094715B"/>
    <w:rsid w:val="0095180D"/>
    <w:rsid w:val="0097051C"/>
    <w:rsid w:val="00973BFD"/>
    <w:rsid w:val="00976546"/>
    <w:rsid w:val="009805C2"/>
    <w:rsid w:val="00980B7A"/>
    <w:rsid w:val="009829DC"/>
    <w:rsid w:val="00982AA4"/>
    <w:rsid w:val="0098332F"/>
    <w:rsid w:val="00983B00"/>
    <w:rsid w:val="00987132"/>
    <w:rsid w:val="009953AB"/>
    <w:rsid w:val="009953BE"/>
    <w:rsid w:val="009974D8"/>
    <w:rsid w:val="00997CBA"/>
    <w:rsid w:val="009A04D7"/>
    <w:rsid w:val="009B2AFC"/>
    <w:rsid w:val="009B3B4F"/>
    <w:rsid w:val="009B51A5"/>
    <w:rsid w:val="009C01B9"/>
    <w:rsid w:val="009C7919"/>
    <w:rsid w:val="009E56E2"/>
    <w:rsid w:val="009F13B3"/>
    <w:rsid w:val="009F6028"/>
    <w:rsid w:val="00A00E1C"/>
    <w:rsid w:val="00A0526D"/>
    <w:rsid w:val="00A0531D"/>
    <w:rsid w:val="00A14378"/>
    <w:rsid w:val="00A16431"/>
    <w:rsid w:val="00A17DC4"/>
    <w:rsid w:val="00A20B7C"/>
    <w:rsid w:val="00A23809"/>
    <w:rsid w:val="00A23C7B"/>
    <w:rsid w:val="00A3468E"/>
    <w:rsid w:val="00A363F2"/>
    <w:rsid w:val="00A4094A"/>
    <w:rsid w:val="00A42A02"/>
    <w:rsid w:val="00A42BDB"/>
    <w:rsid w:val="00A434CF"/>
    <w:rsid w:val="00A51DFB"/>
    <w:rsid w:val="00A53096"/>
    <w:rsid w:val="00A532BC"/>
    <w:rsid w:val="00A55CE7"/>
    <w:rsid w:val="00A55D61"/>
    <w:rsid w:val="00A57CF6"/>
    <w:rsid w:val="00A63B49"/>
    <w:rsid w:val="00A6613F"/>
    <w:rsid w:val="00A66B53"/>
    <w:rsid w:val="00A6737A"/>
    <w:rsid w:val="00A71EFB"/>
    <w:rsid w:val="00A7235E"/>
    <w:rsid w:val="00A7415D"/>
    <w:rsid w:val="00A75EAA"/>
    <w:rsid w:val="00A81FB8"/>
    <w:rsid w:val="00A8462C"/>
    <w:rsid w:val="00A91362"/>
    <w:rsid w:val="00A91DA7"/>
    <w:rsid w:val="00A959D7"/>
    <w:rsid w:val="00AA2E31"/>
    <w:rsid w:val="00AB2098"/>
    <w:rsid w:val="00AB2921"/>
    <w:rsid w:val="00AB3120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D3606"/>
    <w:rsid w:val="00AD451C"/>
    <w:rsid w:val="00AD5D99"/>
    <w:rsid w:val="00AE1650"/>
    <w:rsid w:val="00AF26A3"/>
    <w:rsid w:val="00AF3B63"/>
    <w:rsid w:val="00AF6E80"/>
    <w:rsid w:val="00B05A3B"/>
    <w:rsid w:val="00B07597"/>
    <w:rsid w:val="00B110D8"/>
    <w:rsid w:val="00B146FD"/>
    <w:rsid w:val="00B148F4"/>
    <w:rsid w:val="00B16E24"/>
    <w:rsid w:val="00B2121E"/>
    <w:rsid w:val="00B316AF"/>
    <w:rsid w:val="00B33CA4"/>
    <w:rsid w:val="00B37E0F"/>
    <w:rsid w:val="00B417FD"/>
    <w:rsid w:val="00B420AC"/>
    <w:rsid w:val="00B44A6A"/>
    <w:rsid w:val="00B51CA8"/>
    <w:rsid w:val="00B5234C"/>
    <w:rsid w:val="00B5311F"/>
    <w:rsid w:val="00B560B9"/>
    <w:rsid w:val="00B60AC4"/>
    <w:rsid w:val="00B615E2"/>
    <w:rsid w:val="00B7185F"/>
    <w:rsid w:val="00B74C22"/>
    <w:rsid w:val="00B766C2"/>
    <w:rsid w:val="00B813BE"/>
    <w:rsid w:val="00B87612"/>
    <w:rsid w:val="00BA16D9"/>
    <w:rsid w:val="00BA20B7"/>
    <w:rsid w:val="00BA26BD"/>
    <w:rsid w:val="00BB12E3"/>
    <w:rsid w:val="00BB3020"/>
    <w:rsid w:val="00BB6631"/>
    <w:rsid w:val="00BC4593"/>
    <w:rsid w:val="00BC4668"/>
    <w:rsid w:val="00BC6B37"/>
    <w:rsid w:val="00BD1A56"/>
    <w:rsid w:val="00BE7DB7"/>
    <w:rsid w:val="00BF41BB"/>
    <w:rsid w:val="00BF54F4"/>
    <w:rsid w:val="00BF5F0D"/>
    <w:rsid w:val="00C02CD4"/>
    <w:rsid w:val="00C036F9"/>
    <w:rsid w:val="00C042C8"/>
    <w:rsid w:val="00C04DAA"/>
    <w:rsid w:val="00C12354"/>
    <w:rsid w:val="00C17004"/>
    <w:rsid w:val="00C22C32"/>
    <w:rsid w:val="00C251FD"/>
    <w:rsid w:val="00C318C2"/>
    <w:rsid w:val="00C33EEA"/>
    <w:rsid w:val="00C36F59"/>
    <w:rsid w:val="00C37375"/>
    <w:rsid w:val="00C4025A"/>
    <w:rsid w:val="00C42DB5"/>
    <w:rsid w:val="00C43921"/>
    <w:rsid w:val="00C45CD1"/>
    <w:rsid w:val="00C46414"/>
    <w:rsid w:val="00C47927"/>
    <w:rsid w:val="00C50C3F"/>
    <w:rsid w:val="00C54C36"/>
    <w:rsid w:val="00C66C8D"/>
    <w:rsid w:val="00C71D47"/>
    <w:rsid w:val="00C725C1"/>
    <w:rsid w:val="00C7433B"/>
    <w:rsid w:val="00C76AB3"/>
    <w:rsid w:val="00C77233"/>
    <w:rsid w:val="00C77524"/>
    <w:rsid w:val="00C83F2C"/>
    <w:rsid w:val="00C93B58"/>
    <w:rsid w:val="00C9550E"/>
    <w:rsid w:val="00C95700"/>
    <w:rsid w:val="00C9620A"/>
    <w:rsid w:val="00C96CDC"/>
    <w:rsid w:val="00CA1A56"/>
    <w:rsid w:val="00CA2B4D"/>
    <w:rsid w:val="00CB3A40"/>
    <w:rsid w:val="00CB549B"/>
    <w:rsid w:val="00CC1EAC"/>
    <w:rsid w:val="00CC4479"/>
    <w:rsid w:val="00CC4500"/>
    <w:rsid w:val="00CD0480"/>
    <w:rsid w:val="00CD1C45"/>
    <w:rsid w:val="00CD276C"/>
    <w:rsid w:val="00CD4B54"/>
    <w:rsid w:val="00CD66E2"/>
    <w:rsid w:val="00CE09C4"/>
    <w:rsid w:val="00CE2CAB"/>
    <w:rsid w:val="00CE2D60"/>
    <w:rsid w:val="00CE631A"/>
    <w:rsid w:val="00CE77A4"/>
    <w:rsid w:val="00CF6A93"/>
    <w:rsid w:val="00D00F5F"/>
    <w:rsid w:val="00D04155"/>
    <w:rsid w:val="00D06E5E"/>
    <w:rsid w:val="00D0733B"/>
    <w:rsid w:val="00D112B3"/>
    <w:rsid w:val="00D1241D"/>
    <w:rsid w:val="00D13DB6"/>
    <w:rsid w:val="00D2080B"/>
    <w:rsid w:val="00D2138E"/>
    <w:rsid w:val="00D22DB0"/>
    <w:rsid w:val="00D2318D"/>
    <w:rsid w:val="00D23F13"/>
    <w:rsid w:val="00D262C1"/>
    <w:rsid w:val="00D36154"/>
    <w:rsid w:val="00D4067B"/>
    <w:rsid w:val="00D4462E"/>
    <w:rsid w:val="00D50183"/>
    <w:rsid w:val="00D51B66"/>
    <w:rsid w:val="00D6176D"/>
    <w:rsid w:val="00D61B86"/>
    <w:rsid w:val="00D6650F"/>
    <w:rsid w:val="00D6675B"/>
    <w:rsid w:val="00D720B5"/>
    <w:rsid w:val="00D82863"/>
    <w:rsid w:val="00D8732B"/>
    <w:rsid w:val="00D87B01"/>
    <w:rsid w:val="00D96125"/>
    <w:rsid w:val="00DA5D69"/>
    <w:rsid w:val="00DA6B5B"/>
    <w:rsid w:val="00DB6C8D"/>
    <w:rsid w:val="00DB7705"/>
    <w:rsid w:val="00DC2EE1"/>
    <w:rsid w:val="00DC7361"/>
    <w:rsid w:val="00DC7A22"/>
    <w:rsid w:val="00DC7B52"/>
    <w:rsid w:val="00DD5E6F"/>
    <w:rsid w:val="00DD7C2E"/>
    <w:rsid w:val="00DE168B"/>
    <w:rsid w:val="00DE24E2"/>
    <w:rsid w:val="00DE2D26"/>
    <w:rsid w:val="00DE3B58"/>
    <w:rsid w:val="00DF2607"/>
    <w:rsid w:val="00DF534C"/>
    <w:rsid w:val="00E00273"/>
    <w:rsid w:val="00E01228"/>
    <w:rsid w:val="00E02C88"/>
    <w:rsid w:val="00E062FC"/>
    <w:rsid w:val="00E06D47"/>
    <w:rsid w:val="00E12A24"/>
    <w:rsid w:val="00E20ED4"/>
    <w:rsid w:val="00E2217F"/>
    <w:rsid w:val="00E2340E"/>
    <w:rsid w:val="00E25ED3"/>
    <w:rsid w:val="00E261AE"/>
    <w:rsid w:val="00E3280D"/>
    <w:rsid w:val="00E3332A"/>
    <w:rsid w:val="00E36B4A"/>
    <w:rsid w:val="00E44766"/>
    <w:rsid w:val="00E466D0"/>
    <w:rsid w:val="00E46822"/>
    <w:rsid w:val="00E47A78"/>
    <w:rsid w:val="00E50943"/>
    <w:rsid w:val="00E53D17"/>
    <w:rsid w:val="00E577A9"/>
    <w:rsid w:val="00E61EB6"/>
    <w:rsid w:val="00E626BC"/>
    <w:rsid w:val="00E63989"/>
    <w:rsid w:val="00E65CB9"/>
    <w:rsid w:val="00E670D3"/>
    <w:rsid w:val="00E71495"/>
    <w:rsid w:val="00E718A1"/>
    <w:rsid w:val="00E72175"/>
    <w:rsid w:val="00E75C92"/>
    <w:rsid w:val="00E75E49"/>
    <w:rsid w:val="00E76307"/>
    <w:rsid w:val="00E76EAD"/>
    <w:rsid w:val="00E829F5"/>
    <w:rsid w:val="00E94375"/>
    <w:rsid w:val="00EA53CB"/>
    <w:rsid w:val="00EA7CE5"/>
    <w:rsid w:val="00EB4012"/>
    <w:rsid w:val="00EB5923"/>
    <w:rsid w:val="00EB5D63"/>
    <w:rsid w:val="00EC4735"/>
    <w:rsid w:val="00EC629C"/>
    <w:rsid w:val="00EC6A35"/>
    <w:rsid w:val="00ED49CF"/>
    <w:rsid w:val="00ED52C7"/>
    <w:rsid w:val="00ED7E3D"/>
    <w:rsid w:val="00EE0E49"/>
    <w:rsid w:val="00EF06BC"/>
    <w:rsid w:val="00EF1C4C"/>
    <w:rsid w:val="00EF2AAB"/>
    <w:rsid w:val="00EF42AE"/>
    <w:rsid w:val="00EF4709"/>
    <w:rsid w:val="00F013FB"/>
    <w:rsid w:val="00F1081E"/>
    <w:rsid w:val="00F14B1B"/>
    <w:rsid w:val="00F2453A"/>
    <w:rsid w:val="00F2465A"/>
    <w:rsid w:val="00F30BF7"/>
    <w:rsid w:val="00F331DF"/>
    <w:rsid w:val="00F420D4"/>
    <w:rsid w:val="00F5590C"/>
    <w:rsid w:val="00F55DF4"/>
    <w:rsid w:val="00F573F3"/>
    <w:rsid w:val="00F6159B"/>
    <w:rsid w:val="00F615E4"/>
    <w:rsid w:val="00F64627"/>
    <w:rsid w:val="00F658C2"/>
    <w:rsid w:val="00F77C77"/>
    <w:rsid w:val="00F810C8"/>
    <w:rsid w:val="00F86882"/>
    <w:rsid w:val="00F87B7D"/>
    <w:rsid w:val="00F90CC8"/>
    <w:rsid w:val="00F913E0"/>
    <w:rsid w:val="00FA6935"/>
    <w:rsid w:val="00FB2223"/>
    <w:rsid w:val="00FB388D"/>
    <w:rsid w:val="00FB45A4"/>
    <w:rsid w:val="00FC27DE"/>
    <w:rsid w:val="00FC334F"/>
    <w:rsid w:val="00FD4FC0"/>
    <w:rsid w:val="00FD6BFD"/>
    <w:rsid w:val="00FE0B29"/>
    <w:rsid w:val="00FE4431"/>
    <w:rsid w:val="00FE5643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character" w:customStyle="1" w:styleId="ui-provider">
    <w:name w:val="ui-provider"/>
    <w:basedOn w:val="DefaultParagraphFont"/>
    <w:rsid w:val="00B44A6A"/>
  </w:style>
  <w:style w:type="paragraph" w:styleId="Revision">
    <w:name w:val="Revision"/>
    <w:hidden/>
    <w:uiPriority w:val="99"/>
    <w:semiHidden/>
    <w:rsid w:val="001469A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6.jpeg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tonnington.ERAPSubmissions@vec.vic.gov.au" TargetMode="External"/><Relationship Id="rId17" Type="http://schemas.openxmlformats.org/officeDocument/2006/relationships/hyperlink" Target="http://www.abs.gov.au/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c.vic.gov.au/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vec.vic.gov.au/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vec.vic.gov.au/privacy" TargetMode="External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4A4A021CC96C3748A78BF93FB39A63DA" ma:contentTypeVersion="81" ma:contentTypeDescription="A base content type created that contains columns that all documents managed in the system must include." ma:contentTypeScope="" ma:versionID="cbb4ce5111e5f95f843028b37dc324a3">
  <xsd:schema xmlns:xsd="http://www.w3.org/2001/XMLSchema" xmlns:xs="http://www.w3.org/2001/XMLSchema" xmlns:p="http://schemas.microsoft.com/office/2006/metadata/properties" xmlns:ns2="2d3e4d8c-86b1-4eee-8356-b02c606ab54c" xmlns:ns3="7c692c46-1b76-49b3-8fd5-ee7c86bb93bb" targetNamespace="http://schemas.microsoft.com/office/2006/metadata/properties" ma:root="true" ma:fieldsID="2b3e166597b01f4e8cf100a5b88a5c63" ns2:_="" ns3:_="">
    <xsd:import namespace="2d3e4d8c-86b1-4eee-8356-b02c606ab54c"/>
    <xsd:import namespace="7c692c46-1b76-49b3-8fd5-ee7c86bb93bb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612d6e1-7d1e-41ca-955c-ea0a9a9fd69c}" ma:internalName="TaxCatchAll" ma:showField="CatchAllData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612d6e1-7d1e-41ca-955c-ea0a9a9fd69c}" ma:internalName="TaxCatchAllLabel" ma:readOnly="true" ma:showField="CatchAllDataLabel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2c46-1b76-49b3-8fd5-ee7c86bb9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_dlc_DocId xmlns="2d3e4d8c-86b1-4eee-8356-b02c606ab54c">EDRM221-1981654535-7</_dlc_DocId>
    <TaxKeywordTaxHTField xmlns="2d3e4d8c-86b1-4eee-8356-b02c606ab54c">
      <Terms xmlns="http://schemas.microsoft.com/office/infopath/2007/PartnerControls"/>
    </TaxKeywordTaxHTField>
    <TaxCatchAll xmlns="2d3e4d8c-86b1-4eee-8356-b02c606ab54c">
      <Value>1</Value>
    </TaxCatchAll>
    <aa6d6a01bb12402aa2b6ef18fbfe029d xmlns="2d3e4d8c-86b1-4eee-8356-b02c606ab54c">
      <Terms xmlns="http://schemas.microsoft.com/office/infopath/2007/PartnerControls"/>
    </aa6d6a01bb12402aa2b6ef18fbfe029d>
    <_dlc_DocIdPersistId xmlns="2d3e4d8c-86b1-4eee-8356-b02c606ab54c">false</_dlc_DocIdPersistId>
    <_dlc_DocIdUrl xmlns="2d3e4d8c-86b1-4eee-8356-b02c606ab54c">
      <Url>https://vec365.sharepoint.com/sites/EDRM-221/_layouts/15/DocIdRedir.aspx?ID=EDRM221-1981654535-7</Url>
      <Description>EDRM221-1981654535-7</Description>
    </_dlc_DocIdUrl>
    <f94e959ca20d4468815e4662d892c7ce xmlns="2d3e4d8c-86b1-4eee-8356-b02c606ab54c">
      <Terms xmlns="http://schemas.microsoft.com/office/infopath/2007/PartnerControls"/>
    </f94e959ca20d4468815e4662d892c7ce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F275D-9F38-42D3-A6FD-CC036C027BC2}"/>
</file>

<file path=customXml/itemProps3.xml><?xml version="1.0" encoding="utf-8"?>
<ds:datastoreItem xmlns:ds="http://schemas.openxmlformats.org/officeDocument/2006/customXml" ds:itemID="{C087510D-B240-44F3-8704-300E05CB69CE}"/>
</file>

<file path=customXml/itemProps4.xml><?xml version="1.0" encoding="utf-8"?>
<ds:datastoreItem xmlns:ds="http://schemas.openxmlformats.org/officeDocument/2006/customXml" ds:itemID="{4EB1CA00-72F6-458A-82C7-1629D20F9583}"/>
</file>

<file path=customXml/itemProps5.xml><?xml version="1.0" encoding="utf-8"?>
<ds:datastoreItem xmlns:ds="http://schemas.openxmlformats.org/officeDocument/2006/customXml" ds:itemID="{5B8176C9-7C8F-4AEA-9D48-A5EB850015B1}"/>
</file>

<file path=customXml/itemProps6.xml><?xml version="1.0" encoding="utf-8"?>
<ds:datastoreItem xmlns:ds="http://schemas.openxmlformats.org/officeDocument/2006/customXml" ds:itemID="{52F47C9A-442A-4EE4-8335-1DDED3833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4838</Characters>
  <Application>Microsoft Office Word</Application>
  <DocSecurity>2</DocSecurity>
  <Lines>254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Stonnington City Council</vt:lpstr>
    </vt:vector>
  </TitlesOfParts>
  <Company/>
  <LinksUpToDate>false</LinksUpToDate>
  <CharactersWithSpaces>5592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Stonnington City Council</dc:title>
  <dc:subject>Fact sheet - Stonnington City Council</dc:subject>
  <dc:creator/>
  <cp:keywords/>
  <dc:description/>
  <cp:lastModifiedBy/>
  <cp:revision>1</cp:revision>
  <dcterms:created xsi:type="dcterms:W3CDTF">2023-07-11T04:40:00Z</dcterms:created>
  <dcterms:modified xsi:type="dcterms:W3CDTF">2023-07-11T04:40:00Z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4" name="TaxKeyword">
    <vt:lpwstr/>
  </property>
  <property fmtid="{D5CDD505-2E9C-101B-9397-08002B2CF9AE}" pid="5" name="HPRM_LastUpdatedBy">
    <vt:lpwstr/>
  </property>
  <property fmtid="{D5CDD505-2E9C-101B-9397-08002B2CF9AE}" pid="7" name="n313aaee84f34c5181c1bf8429be1e14">
    <vt:lpwstr/>
  </property>
  <property fmtid="{D5CDD505-2E9C-101B-9397-08002B2CF9AE}" pid="8" name="HPRM_RecordType">
    <vt:lpwstr/>
  </property>
  <property fmtid="{D5CDD505-2E9C-101B-9397-08002B2CF9AE}" pid="9" name="WorkState">
    <vt:lpwstr/>
  </property>
  <property fmtid="{D5CDD505-2E9C-101B-9397-08002B2CF9AE}" pid="10" name="HPRM_CreatedBy">
    <vt:lpwstr/>
  </property>
  <property fmtid="{D5CDD505-2E9C-101B-9397-08002B2CF9AE}" pid="11" name="g27cbe6a8534470090c2084bae4d830a">
    <vt:lpwstr/>
  </property>
  <property fmtid="{D5CDD505-2E9C-101B-9397-08002B2CF9AE}" pid="12" name="xd_ProgID">
    <vt:lpwstr/>
  </property>
  <property fmtid="{D5CDD505-2E9C-101B-9397-08002B2CF9AE}" pid="13" name="HPRMRetentionDisposalRule">
    <vt:lpwstr/>
  </property>
  <property fmtid="{D5CDD505-2E9C-101B-9397-08002B2CF9AE}" pid="14" name="ContentTypeId">
    <vt:lpwstr>0x010100F48EF307B9BDE94FAD2E991BF2724B3701004A4A021CC96C3748A78BF93FB39A63DA</vt:lpwstr>
  </property>
  <property fmtid="{D5CDD505-2E9C-101B-9397-08002B2CF9AE}" pid="15" name="HPRM_Title">
    <vt:lpwstr/>
  </property>
  <property fmtid="{D5CDD505-2E9C-101B-9397-08002B2CF9AE}" pid="16" name="HPRM_Description">
    <vt:lpwstr/>
  </property>
  <property fmtid="{D5CDD505-2E9C-101B-9397-08002B2CF9AE}" pid="17" name="HPRM_Client">
    <vt:lpwstr/>
  </property>
  <property fmtid="{D5CDD505-2E9C-101B-9397-08002B2CF9AE}" pid="18" name="PhysicalRecordHome">
    <vt:lpwstr/>
  </property>
  <property fmtid="{D5CDD505-2E9C-101B-9397-08002B2CF9AE}" pid="19" name="HPRM_Author">
    <vt:lpwstr/>
  </property>
  <property fmtid="{D5CDD505-2E9C-101B-9397-08002B2CF9AE}" pid="20" name="k8ac677a5b284ae9b558dfebc9dd44ba">
    <vt:lpwstr/>
  </property>
  <property fmtid="{D5CDD505-2E9C-101B-9397-08002B2CF9AE}" pid="21" name="Council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WorkZip">
    <vt:lpwstr/>
  </property>
  <property fmtid="{D5CDD505-2E9C-101B-9397-08002B2CF9AE}" pid="25" name="_ExtendedDescription">
    <vt:lpwstr/>
  </property>
  <property fmtid="{D5CDD505-2E9C-101B-9397-08002B2CF9AE}" pid="26" name="HPRMIssuesSummary">
    <vt:lpwstr/>
  </property>
  <property fmtid="{D5CDD505-2E9C-101B-9397-08002B2CF9AE}" pid="28" name="Document Type">
    <vt:lpwstr/>
  </property>
  <property fmtid="{D5CDD505-2E9C-101B-9397-08002B2CF9AE}" pid="29" name="Disposition">
    <vt:lpwstr/>
  </property>
  <property fmtid="{D5CDD505-2E9C-101B-9397-08002B2CF9AE}" pid="30" name="HPRM_Surname">
    <vt:lpwstr/>
  </property>
  <property fmtid="{D5CDD505-2E9C-101B-9397-08002B2CF9AE}" pid="31" name="HPRM_FirstName">
    <vt:lpwstr/>
  </property>
  <property fmtid="{D5CDD505-2E9C-101B-9397-08002B2CF9AE}" pid="32" name="Rendition Comment">
    <vt:lpwstr/>
  </property>
  <property fmtid="{D5CDD505-2E9C-101B-9397-08002B2CF9AE}" pid="33" name="Records Category">
    <vt:lpwstr/>
  </property>
  <property fmtid="{D5CDD505-2E9C-101B-9397-08002B2CF9AE}" pid="34" name="HPRM_RecordNumber">
    <vt:lpwstr/>
  </property>
  <property fmtid="{D5CDD505-2E9C-101B-9397-08002B2CF9AE}" pid="35" name="xd_Signature">
    <vt:bool>false</vt:bool>
  </property>
  <property fmtid="{D5CDD505-2E9C-101B-9397-08002B2CF9AE}" pid="37" name="PhysicalRecordAssignee">
    <vt:lpwstr/>
  </property>
  <property fmtid="{D5CDD505-2E9C-101B-9397-08002B2CF9AE}" pid="38" name="HPRMRelatedRecord">
    <vt:lpwstr/>
  </property>
  <property fmtid="{D5CDD505-2E9C-101B-9397-08002B2CF9AE}" pid="39" name="CategoryOfComplaint">
    <vt:lpwstr/>
  </property>
  <property fmtid="{D5CDD505-2E9C-101B-9397-08002B2CF9AE}" pid="40" name="WorkAddress">
    <vt:lpwstr/>
  </property>
  <property fmtid="{D5CDD505-2E9C-101B-9397-08002B2CF9AE}" pid="41" name="HPRM_RecordOwner">
    <vt:lpwstr/>
  </property>
  <property fmtid="{D5CDD505-2E9C-101B-9397-08002B2CF9AE}" pid="42" name="_dlc_DocIdItemGuid">
    <vt:lpwstr>d60b0580-0320-413d-9f79-4effcc1434a3</vt:lpwstr>
  </property>
  <property fmtid="{D5CDD505-2E9C-101B-9397-08002B2CF9AE}" pid="43" name="HPRM_Retention">
    <vt:lpwstr/>
  </property>
  <property fmtid="{D5CDD505-2E9C-101B-9397-08002B2CF9AE}" pid="46" name="TriggerFlowInfo">
    <vt:lpwstr/>
  </property>
  <property fmtid="{D5CDD505-2E9C-101B-9397-08002B2CF9AE}" pid="47" name="SubmissionStage">
    <vt:lpwstr/>
  </property>
  <property fmtid="{D5CDD505-2E9C-101B-9397-08002B2CF9AE}" pid="48" name="HPRM_AuditHistory">
    <vt:lpwstr/>
  </property>
  <property fmtid="{D5CDD505-2E9C-101B-9397-08002B2CF9AE}" pid="49" name="Order">
    <vt:r8>700</vt:r8>
  </property>
  <property fmtid="{D5CDD505-2E9C-101B-9397-08002B2CF9AE}" pid="50" name="Agency">
    <vt:lpwstr>1;#Victorian Electoral Commission|80f02476-18e5-44b8-b6bf-9dffda064e6e</vt:lpwstr>
  </property>
  <property fmtid="{D5CDD505-2E9C-101B-9397-08002B2CF9AE}" pid="51" name="Physical Record Exists">
    <vt:bool>false</vt:bool>
  </property>
</Properties>
</file>