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F1091C" w14:textId="77777777" w:rsidR="00F66E14" w:rsidRPr="00EF4ACB" w:rsidRDefault="00F66E14" w:rsidP="009B6635">
      <w:pPr>
        <w:pStyle w:val="Title"/>
      </w:pPr>
      <w:bookmarkStart w:id="0" w:name="_GoBack"/>
      <w:bookmarkEnd w:id="0"/>
      <w:r>
        <w:rPr>
          <w:noProof/>
        </w:rPr>
        <w:drawing>
          <wp:anchor distT="0" distB="0" distL="114300" distR="114300" simplePos="0" relativeHeight="251664384" behindDoc="1" locked="0" layoutInCell="1" allowOverlap="1" wp14:anchorId="6A8A4228" wp14:editId="5518F85C">
            <wp:simplePos x="0" y="0"/>
            <wp:positionH relativeFrom="column">
              <wp:posOffset>-910590</wp:posOffset>
            </wp:positionH>
            <wp:positionV relativeFrom="paragraph">
              <wp:posOffset>-916305</wp:posOffset>
            </wp:positionV>
            <wp:extent cx="7579360" cy="10720070"/>
            <wp:effectExtent l="0" t="0" r="0" b="0"/>
            <wp:wrapNone/>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79360" cy="107200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39FCB69E" wp14:editId="2EF69308">
            <wp:simplePos x="0" y="0"/>
            <wp:positionH relativeFrom="column">
              <wp:posOffset>4591050</wp:posOffset>
            </wp:positionH>
            <wp:positionV relativeFrom="paragraph">
              <wp:posOffset>-438150</wp:posOffset>
            </wp:positionV>
            <wp:extent cx="1463040" cy="1570990"/>
            <wp:effectExtent l="0" t="0" r="0" b="0"/>
            <wp:wrapNone/>
            <wp:docPr id="1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63040" cy="1570990"/>
                    </a:xfrm>
                    <a:prstGeom prst="rect">
                      <a:avLst/>
                    </a:prstGeom>
                    <a:noFill/>
                  </pic:spPr>
                </pic:pic>
              </a:graphicData>
            </a:graphic>
            <wp14:sizeRelH relativeFrom="page">
              <wp14:pctWidth>0</wp14:pctWidth>
            </wp14:sizeRelH>
            <wp14:sizeRelV relativeFrom="page">
              <wp14:pctHeight>0</wp14:pctHeight>
            </wp14:sizeRelV>
          </wp:anchor>
        </w:drawing>
      </w:r>
    </w:p>
    <w:p w14:paraId="63F74E9C" w14:textId="77777777" w:rsidR="00F66E14" w:rsidRPr="00EF4ACB" w:rsidRDefault="00F66E14" w:rsidP="009B6635">
      <w:pPr>
        <w:pStyle w:val="Title"/>
      </w:pPr>
    </w:p>
    <w:p w14:paraId="218FB5E7" w14:textId="77777777" w:rsidR="00F66E14" w:rsidRPr="00EF4ACB" w:rsidRDefault="00F66E14" w:rsidP="009B6635">
      <w:pPr>
        <w:pStyle w:val="Title"/>
      </w:pPr>
    </w:p>
    <w:p w14:paraId="214222BB" w14:textId="77777777" w:rsidR="00F66E14" w:rsidRPr="00EF4ACB" w:rsidRDefault="00F66E14" w:rsidP="009B6635">
      <w:pPr>
        <w:pStyle w:val="Title"/>
      </w:pPr>
    </w:p>
    <w:p w14:paraId="013B222D" w14:textId="77777777" w:rsidR="00F66E14" w:rsidRPr="00EF4ACB" w:rsidRDefault="00F66E14" w:rsidP="009B6635">
      <w:pPr>
        <w:pStyle w:val="Title"/>
      </w:pPr>
    </w:p>
    <w:p w14:paraId="549ABB57" w14:textId="77777777" w:rsidR="00F66E14" w:rsidRPr="00EF4ACB" w:rsidRDefault="00F66E14" w:rsidP="009B6635">
      <w:pPr>
        <w:pStyle w:val="Title"/>
      </w:pPr>
    </w:p>
    <w:p w14:paraId="4F11CBC7" w14:textId="77777777" w:rsidR="00F66E14" w:rsidRPr="00EF4ACB" w:rsidRDefault="00F66E14" w:rsidP="009B6635">
      <w:pPr>
        <w:pStyle w:val="Title"/>
      </w:pPr>
    </w:p>
    <w:p w14:paraId="78C3680F" w14:textId="77777777" w:rsidR="00F66E14" w:rsidRPr="00EF4ACB" w:rsidRDefault="00F66E14" w:rsidP="009B6635">
      <w:pPr>
        <w:pStyle w:val="Title"/>
      </w:pPr>
    </w:p>
    <w:p w14:paraId="7B7BEE53" w14:textId="77777777" w:rsidR="00F66E14" w:rsidRPr="00EF4ACB" w:rsidRDefault="004F58B0" w:rsidP="009B6635">
      <w:pPr>
        <w:pStyle w:val="Title"/>
      </w:pPr>
      <w:r>
        <w:rPr>
          <w:noProof/>
        </w:rPr>
        <w:drawing>
          <wp:anchor distT="0" distB="0" distL="114300" distR="114300" simplePos="0" relativeHeight="251661312" behindDoc="0" locked="0" layoutInCell="1" allowOverlap="1" wp14:anchorId="44736642" wp14:editId="1A26CF57">
            <wp:simplePos x="0" y="0"/>
            <wp:positionH relativeFrom="column">
              <wp:posOffset>3157220</wp:posOffset>
            </wp:positionH>
            <wp:positionV relativeFrom="paragraph">
              <wp:posOffset>349885</wp:posOffset>
            </wp:positionV>
            <wp:extent cx="340360" cy="478155"/>
            <wp:effectExtent l="0" t="0" r="2540" b="0"/>
            <wp:wrapNone/>
            <wp:docPr id="9" name="Picture 5" descr="Asse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sset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40360" cy="478155"/>
                    </a:xfrm>
                    <a:prstGeom prst="rect">
                      <a:avLst/>
                    </a:prstGeom>
                    <a:noFill/>
                  </pic:spPr>
                </pic:pic>
              </a:graphicData>
            </a:graphic>
            <wp14:sizeRelH relativeFrom="page">
              <wp14:pctWidth>0</wp14:pctWidth>
            </wp14:sizeRelH>
            <wp14:sizeRelV relativeFrom="page">
              <wp14:pctHeight>0</wp14:pctHeight>
            </wp14:sizeRelV>
          </wp:anchor>
        </w:drawing>
      </w:r>
    </w:p>
    <w:p w14:paraId="5C72CF20" w14:textId="77777777" w:rsidR="00F66E14" w:rsidRPr="00EF4ACB" w:rsidRDefault="00F66E14" w:rsidP="009B6635">
      <w:pPr>
        <w:pStyle w:val="Title"/>
      </w:pPr>
    </w:p>
    <w:p w14:paraId="3B80EAE6" w14:textId="77777777" w:rsidR="00F66E14" w:rsidRPr="00EF4ACB" w:rsidRDefault="00C96CF1" w:rsidP="00280BE4">
      <w:pPr>
        <w:spacing w:before="240"/>
        <w:ind w:right="4064"/>
        <w:rPr>
          <w:rFonts w:ascii="Century Gothic" w:hAnsi="Century Gothic"/>
          <w:sz w:val="16"/>
          <w:szCs w:val="16"/>
        </w:rPr>
      </w:pPr>
      <w:r>
        <w:rPr>
          <w:rFonts w:ascii="Century Gothic" w:hAnsi="Century Gothic"/>
          <w:noProof/>
          <w:lang w:eastAsia="en-AU"/>
        </w:rPr>
        <mc:AlternateContent>
          <mc:Choice Requires="wps">
            <w:drawing>
              <wp:anchor distT="0" distB="0" distL="114300" distR="114300" simplePos="0" relativeHeight="251660288" behindDoc="0" locked="0" layoutInCell="1" allowOverlap="1" wp14:anchorId="5DECFC85" wp14:editId="67A051D5">
                <wp:simplePos x="0" y="0"/>
                <wp:positionH relativeFrom="column">
                  <wp:posOffset>-742950</wp:posOffset>
                </wp:positionH>
                <wp:positionV relativeFrom="paragraph">
                  <wp:posOffset>3242945</wp:posOffset>
                </wp:positionV>
                <wp:extent cx="2430145" cy="765810"/>
                <wp:effectExtent l="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0145" cy="765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68C069" w14:textId="77777777" w:rsidR="00371426" w:rsidRPr="00F5195A" w:rsidRDefault="00371426"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DECFC85" id="_x0000_t202" coordsize="21600,21600" o:spt="202" path="m,l,21600r21600,l21600,xe">
                <v:stroke joinstyle="miter"/>
                <v:path gradientshapeok="t" o:connecttype="rect"/>
              </v:shapetype>
              <v:shape id="Text Box 4" o:spid="_x0000_s1026" type="#_x0000_t202" style="position:absolute;margin-left:-58.5pt;margin-top:255.35pt;width:191.35pt;height:60.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" filled="f" stroked="f">
                <v:textbox>
                  <w:txbxContent>
                    <w:p w14:paraId="4E68C069" w14:textId="77777777" w:rsidR="00371426" w:rsidRPr="00F5195A" w:rsidRDefault="00371426" w:rsidP="00C469DE">
                      <w:pPr>
                        <w:rPr>
                          <w:rFonts w:ascii="Century Gothic" w:hAnsi="Century Gothic"/>
                          <w:b/>
                          <w:noProof/>
                          <w:color w:val="FFFFFF"/>
                          <w:sz w:val="46"/>
                          <w:szCs w:val="46"/>
                        </w:rPr>
                      </w:pPr>
                      <w:r>
                        <w:rPr>
                          <w:rFonts w:ascii="Century Gothic" w:hAnsi="Century Gothic"/>
                          <w:b/>
                          <w:noProof/>
                          <w:color w:val="FFFFFF"/>
                          <w:sz w:val="46"/>
                          <w:szCs w:val="46"/>
                        </w:rPr>
                        <w:t>March 2020</w:t>
                      </w:r>
                    </w:p>
                  </w:txbxContent>
                </v:textbox>
              </v:shape>
            </w:pict>
          </mc:Fallback>
        </mc:AlternateContent>
      </w:r>
      <w:r>
        <w:rPr>
          <w:rFonts w:ascii="Century Gothic" w:hAnsi="Century Gothic"/>
          <w:noProof/>
          <w:lang w:eastAsia="en-AU"/>
        </w:rPr>
        <mc:AlternateContent>
          <mc:Choice Requires="wps">
            <w:drawing>
              <wp:anchor distT="0" distB="0" distL="114300" distR="114300" simplePos="0" relativeHeight="251659264" behindDoc="0" locked="0" layoutInCell="1" allowOverlap="1" wp14:anchorId="0C703837" wp14:editId="482955AB">
                <wp:simplePos x="0" y="0"/>
                <wp:positionH relativeFrom="column">
                  <wp:posOffset>-761365</wp:posOffset>
                </wp:positionH>
                <wp:positionV relativeFrom="paragraph">
                  <wp:posOffset>2212340</wp:posOffset>
                </wp:positionV>
                <wp:extent cx="3852545" cy="1042035"/>
                <wp:effectExtent l="0" t="0" r="0" b="571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52545" cy="1042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3B4480" w14:textId="77777777" w:rsidR="00371426" w:rsidRPr="00F5195A" w:rsidRDefault="00371426" w:rsidP="00C469DE">
                            <w:pPr>
                              <w:rPr>
                                <w:rFonts w:ascii="Century Gothic" w:hAnsi="Century Gothic"/>
                              </w:rPr>
                            </w:pPr>
                            <w:r w:rsidRPr="00170C47">
                              <w:rPr>
                                <w:rFonts w:ascii="Century Gothic" w:hAnsi="Century Gothic"/>
                                <w:b/>
                                <w:caps/>
                                <w:noProof/>
                                <w:color w:val="FFFFFF"/>
                                <w:sz w:val="60"/>
                                <w:szCs w:val="60"/>
                              </w:rPr>
                              <w:t>Mansfield Shire Council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703837" id="Text Box 2" o:spid="_x0000_s1027" type="#_x0000_t202" style="position:absolute;margin-left:-59.95pt;margin-top:174.2pt;width:303.35pt;height:82.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BeFuAIAAME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" filled="f" stroked="f">
                <v:textbox>
                  <w:txbxContent>
                    <w:p w14:paraId="5A3B4480" w14:textId="77777777" w:rsidR="00371426" w:rsidRPr="00F5195A" w:rsidRDefault="00371426" w:rsidP="00C469DE">
                      <w:pPr>
                        <w:rPr>
                          <w:rFonts w:ascii="Century Gothic" w:hAnsi="Century Gothic"/>
                        </w:rPr>
                      </w:pPr>
                      <w:r w:rsidRPr="00170C47">
                        <w:rPr>
                          <w:rFonts w:ascii="Century Gothic" w:hAnsi="Century Gothic"/>
                          <w:b/>
                          <w:caps/>
                          <w:noProof/>
                          <w:color w:val="FFFFFF"/>
                          <w:sz w:val="60"/>
                          <w:szCs w:val="60"/>
                        </w:rPr>
                        <w:t>Mansfield Shire Council</w:t>
                      </w:r>
                    </w:p>
                  </w:txbxContent>
                </v:textbox>
              </v:shape>
            </w:pict>
          </mc:Fallback>
        </mc:AlternateContent>
      </w:r>
      <w:r w:rsidR="00F66E14" w:rsidRPr="00EF4ACB">
        <w:rPr>
          <w:rFonts w:ascii="Century Gothic" w:hAnsi="Century Gothic"/>
          <w:b/>
          <w:noProof/>
          <w:color w:val="FFFFFF"/>
          <w:sz w:val="46"/>
          <w:szCs w:val="46"/>
        </w:rPr>
        <w:br w:type="page"/>
      </w:r>
      <w:r w:rsidR="00F66E14">
        <w:rPr>
          <w:rFonts w:ascii="Century Gothic" w:hAnsi="Century Gothic"/>
          <w:b/>
          <w:noProof/>
          <w:color w:val="FFFFFF"/>
          <w:sz w:val="46"/>
          <w:szCs w:val="46"/>
        </w:rPr>
        <w:lastRenderedPageBreak/>
        <w:br w:type="page"/>
      </w:r>
    </w:p>
    <w:p w14:paraId="5BC03F16" w14:textId="77777777" w:rsidR="00F66E14" w:rsidRPr="00EF4ACB" w:rsidRDefault="00F66E14">
      <w:pPr>
        <w:pStyle w:val="Headingcontents"/>
        <w:rPr>
          <w:rFonts w:ascii="Century Gothic" w:hAnsi="Century Gothic"/>
        </w:rPr>
      </w:pPr>
      <w:r w:rsidRPr="00EF4ACB">
        <w:rPr>
          <w:rFonts w:ascii="Century Gothic" w:hAnsi="Century Gothic"/>
        </w:rPr>
        <w:lastRenderedPageBreak/>
        <w:t>Contents</w:t>
      </w:r>
    </w:p>
    <w:p w14:paraId="79411E68" w14:textId="77777777" w:rsidR="00F34B33" w:rsidRDefault="00F34B33">
      <w:pPr>
        <w:pStyle w:val="TOC1"/>
        <w:rPr>
          <w:rFonts w:asciiTheme="minorHAnsi" w:eastAsiaTheme="minorEastAsia" w:hAnsiTheme="minorHAnsi" w:cstheme="minorBidi"/>
          <w:b w:val="0"/>
          <w:noProof/>
          <w:sz w:val="22"/>
          <w:lang w:eastAsia="en-AU"/>
        </w:rPr>
      </w:pPr>
      <w:r>
        <w:rPr>
          <w:rFonts w:ascii="Calibri" w:eastAsia="DengXian" w:hAnsi="Calibri"/>
          <w:b w:val="0"/>
          <w:noProof/>
          <w:sz w:val="22"/>
          <w:lang w:eastAsia="en-AU"/>
        </w:rPr>
        <w:fldChar w:fldCharType="begin"/>
      </w:r>
      <w:r>
        <w:rPr>
          <w:rFonts w:ascii="Calibri" w:eastAsia="DengXian" w:hAnsi="Calibri"/>
          <w:b w:val="0"/>
          <w:noProof/>
          <w:sz w:val="22"/>
          <w:lang w:eastAsia="en-AU"/>
        </w:rPr>
        <w:instrText xml:space="preserve"> TOC \o "1-2" \h \z \u </w:instrText>
      </w:r>
      <w:r>
        <w:rPr>
          <w:rFonts w:ascii="Calibri" w:eastAsia="DengXian" w:hAnsi="Calibri"/>
          <w:b w:val="0"/>
          <w:noProof/>
          <w:sz w:val="22"/>
          <w:lang w:eastAsia="en-AU"/>
        </w:rPr>
        <w:fldChar w:fldCharType="separate"/>
      </w:r>
      <w:hyperlink w:anchor="_Toc32583982" w:history="1">
        <w:r w:rsidRPr="0012691E">
          <w:rPr>
            <w:rStyle w:val="Hyperlink"/>
            <w:noProof/>
          </w:rPr>
          <w:t>Recommendation</w:t>
        </w:r>
        <w:r>
          <w:rPr>
            <w:noProof/>
            <w:webHidden/>
          </w:rPr>
          <w:tab/>
        </w:r>
        <w:r>
          <w:rPr>
            <w:noProof/>
            <w:webHidden/>
          </w:rPr>
          <w:fldChar w:fldCharType="begin"/>
        </w:r>
        <w:r>
          <w:rPr>
            <w:noProof/>
            <w:webHidden/>
          </w:rPr>
          <w:instrText xml:space="preserve"> PAGEREF _Toc32583982 \h </w:instrText>
        </w:r>
        <w:r>
          <w:rPr>
            <w:noProof/>
            <w:webHidden/>
          </w:rPr>
        </w:r>
        <w:r>
          <w:rPr>
            <w:noProof/>
            <w:webHidden/>
          </w:rPr>
          <w:fldChar w:fldCharType="separate"/>
        </w:r>
        <w:r>
          <w:rPr>
            <w:noProof/>
            <w:webHidden/>
          </w:rPr>
          <w:t>1</w:t>
        </w:r>
        <w:r>
          <w:rPr>
            <w:noProof/>
            <w:webHidden/>
          </w:rPr>
          <w:fldChar w:fldCharType="end"/>
        </w:r>
      </w:hyperlink>
    </w:p>
    <w:p w14:paraId="52387FCE" w14:textId="77777777" w:rsidR="00F34B33" w:rsidRDefault="00971EE4">
      <w:pPr>
        <w:pStyle w:val="TOC1"/>
        <w:rPr>
          <w:rFonts w:asciiTheme="minorHAnsi" w:eastAsiaTheme="minorEastAsia" w:hAnsiTheme="minorHAnsi" w:cstheme="minorBidi"/>
          <w:b w:val="0"/>
          <w:noProof/>
          <w:sz w:val="22"/>
          <w:lang w:eastAsia="en-AU"/>
        </w:rPr>
      </w:pPr>
      <w:hyperlink w:anchor="_Toc32583983" w:history="1">
        <w:r w:rsidR="00F34B33" w:rsidRPr="0012691E">
          <w:rPr>
            <w:rStyle w:val="Hyperlink"/>
            <w:noProof/>
          </w:rPr>
          <w:t>Executive summary</w:t>
        </w:r>
        <w:r w:rsidR="00F34B33">
          <w:rPr>
            <w:noProof/>
            <w:webHidden/>
          </w:rPr>
          <w:tab/>
        </w:r>
        <w:r w:rsidR="00F34B33">
          <w:rPr>
            <w:noProof/>
            <w:webHidden/>
          </w:rPr>
          <w:fldChar w:fldCharType="begin"/>
        </w:r>
        <w:r w:rsidR="00F34B33">
          <w:rPr>
            <w:noProof/>
            <w:webHidden/>
          </w:rPr>
          <w:instrText xml:space="preserve"> PAGEREF _Toc32583983 \h </w:instrText>
        </w:r>
        <w:r w:rsidR="00F34B33">
          <w:rPr>
            <w:noProof/>
            <w:webHidden/>
          </w:rPr>
        </w:r>
        <w:r w:rsidR="00F34B33">
          <w:rPr>
            <w:noProof/>
            <w:webHidden/>
          </w:rPr>
          <w:fldChar w:fldCharType="separate"/>
        </w:r>
        <w:r w:rsidR="00F34B33">
          <w:rPr>
            <w:noProof/>
            <w:webHidden/>
          </w:rPr>
          <w:t>2</w:t>
        </w:r>
        <w:r w:rsidR="00F34B33">
          <w:rPr>
            <w:noProof/>
            <w:webHidden/>
          </w:rPr>
          <w:fldChar w:fldCharType="end"/>
        </w:r>
      </w:hyperlink>
    </w:p>
    <w:p w14:paraId="5C8BDDC6" w14:textId="77777777" w:rsidR="00F34B33" w:rsidRDefault="00971EE4">
      <w:pPr>
        <w:pStyle w:val="TOC1"/>
        <w:rPr>
          <w:rFonts w:asciiTheme="minorHAnsi" w:eastAsiaTheme="minorEastAsia" w:hAnsiTheme="minorHAnsi" w:cstheme="minorBidi"/>
          <w:b w:val="0"/>
          <w:noProof/>
          <w:sz w:val="22"/>
          <w:lang w:eastAsia="en-AU"/>
        </w:rPr>
      </w:pPr>
      <w:hyperlink w:anchor="_Toc32583984" w:history="1">
        <w:r w:rsidR="00F34B33" w:rsidRPr="0012691E">
          <w:rPr>
            <w:rStyle w:val="Hyperlink"/>
            <w:noProof/>
          </w:rPr>
          <w:t>Background</w:t>
        </w:r>
        <w:r w:rsidR="00F34B33">
          <w:rPr>
            <w:noProof/>
            <w:webHidden/>
          </w:rPr>
          <w:tab/>
        </w:r>
        <w:r w:rsidR="00F34B33">
          <w:rPr>
            <w:noProof/>
            <w:webHidden/>
          </w:rPr>
          <w:fldChar w:fldCharType="begin"/>
        </w:r>
        <w:r w:rsidR="00F34B33">
          <w:rPr>
            <w:noProof/>
            <w:webHidden/>
          </w:rPr>
          <w:instrText xml:space="preserve"> PAGEREF _Toc32583984 \h </w:instrText>
        </w:r>
        <w:r w:rsidR="00F34B33">
          <w:rPr>
            <w:noProof/>
            <w:webHidden/>
          </w:rPr>
        </w:r>
        <w:r w:rsidR="00F34B33">
          <w:rPr>
            <w:noProof/>
            <w:webHidden/>
          </w:rPr>
          <w:fldChar w:fldCharType="separate"/>
        </w:r>
        <w:r w:rsidR="00F34B33">
          <w:rPr>
            <w:noProof/>
            <w:webHidden/>
          </w:rPr>
          <w:t>5</w:t>
        </w:r>
        <w:r w:rsidR="00F34B33">
          <w:rPr>
            <w:noProof/>
            <w:webHidden/>
          </w:rPr>
          <w:fldChar w:fldCharType="end"/>
        </w:r>
      </w:hyperlink>
    </w:p>
    <w:p w14:paraId="7CC7C9E5" w14:textId="77777777" w:rsidR="00F34B33" w:rsidRDefault="00971EE4">
      <w:pPr>
        <w:pStyle w:val="TOC2"/>
        <w:rPr>
          <w:rFonts w:asciiTheme="minorHAnsi" w:eastAsiaTheme="minorEastAsia" w:hAnsiTheme="minorHAnsi" w:cstheme="minorBidi"/>
          <w:noProof/>
          <w:lang w:eastAsia="en-AU"/>
        </w:rPr>
      </w:pPr>
      <w:hyperlink w:anchor="_Toc32583985" w:history="1">
        <w:r w:rsidR="00F34B33" w:rsidRPr="0012691E">
          <w:rPr>
            <w:rStyle w:val="Hyperlink"/>
            <w:noProof/>
          </w:rPr>
          <w:t>Legislative basis</w:t>
        </w:r>
        <w:r w:rsidR="00F34B33">
          <w:rPr>
            <w:noProof/>
            <w:webHidden/>
          </w:rPr>
          <w:tab/>
        </w:r>
        <w:r w:rsidR="00F34B33">
          <w:rPr>
            <w:noProof/>
            <w:webHidden/>
          </w:rPr>
          <w:fldChar w:fldCharType="begin"/>
        </w:r>
        <w:r w:rsidR="00F34B33">
          <w:rPr>
            <w:noProof/>
            <w:webHidden/>
          </w:rPr>
          <w:instrText xml:space="preserve"> PAGEREF _Toc32583985 \h </w:instrText>
        </w:r>
        <w:r w:rsidR="00F34B33">
          <w:rPr>
            <w:noProof/>
            <w:webHidden/>
          </w:rPr>
        </w:r>
        <w:r w:rsidR="00F34B33">
          <w:rPr>
            <w:noProof/>
            <w:webHidden/>
          </w:rPr>
          <w:fldChar w:fldCharType="separate"/>
        </w:r>
        <w:r w:rsidR="00F34B33">
          <w:rPr>
            <w:noProof/>
            <w:webHidden/>
          </w:rPr>
          <w:t>5</w:t>
        </w:r>
        <w:r w:rsidR="00F34B33">
          <w:rPr>
            <w:noProof/>
            <w:webHidden/>
          </w:rPr>
          <w:fldChar w:fldCharType="end"/>
        </w:r>
      </w:hyperlink>
    </w:p>
    <w:p w14:paraId="179955A6" w14:textId="77777777" w:rsidR="00F34B33" w:rsidRDefault="00971EE4">
      <w:pPr>
        <w:pStyle w:val="TOC2"/>
        <w:rPr>
          <w:rFonts w:asciiTheme="minorHAnsi" w:eastAsiaTheme="minorEastAsia" w:hAnsiTheme="minorHAnsi" w:cstheme="minorBidi"/>
          <w:noProof/>
          <w:lang w:eastAsia="en-AU"/>
        </w:rPr>
      </w:pPr>
      <w:hyperlink w:anchor="_Toc32583986" w:history="1">
        <w:r w:rsidR="00F34B33" w:rsidRPr="0012691E">
          <w:rPr>
            <w:rStyle w:val="Hyperlink"/>
            <w:noProof/>
          </w:rPr>
          <w:t>Public engagement</w:t>
        </w:r>
        <w:r w:rsidR="00F34B33">
          <w:rPr>
            <w:noProof/>
            <w:webHidden/>
          </w:rPr>
          <w:tab/>
        </w:r>
        <w:r w:rsidR="00F34B33">
          <w:rPr>
            <w:noProof/>
            <w:webHidden/>
          </w:rPr>
          <w:fldChar w:fldCharType="begin"/>
        </w:r>
        <w:r w:rsidR="00F34B33">
          <w:rPr>
            <w:noProof/>
            <w:webHidden/>
          </w:rPr>
          <w:instrText xml:space="preserve"> PAGEREF _Toc32583986 \h </w:instrText>
        </w:r>
        <w:r w:rsidR="00F34B33">
          <w:rPr>
            <w:noProof/>
            <w:webHidden/>
          </w:rPr>
        </w:r>
        <w:r w:rsidR="00F34B33">
          <w:rPr>
            <w:noProof/>
            <w:webHidden/>
          </w:rPr>
          <w:fldChar w:fldCharType="separate"/>
        </w:r>
        <w:r w:rsidR="00F34B33">
          <w:rPr>
            <w:noProof/>
            <w:webHidden/>
          </w:rPr>
          <w:t>5</w:t>
        </w:r>
        <w:r w:rsidR="00F34B33">
          <w:rPr>
            <w:noProof/>
            <w:webHidden/>
          </w:rPr>
          <w:fldChar w:fldCharType="end"/>
        </w:r>
      </w:hyperlink>
    </w:p>
    <w:p w14:paraId="707773BB" w14:textId="77777777" w:rsidR="00F34B33" w:rsidRDefault="00971EE4">
      <w:pPr>
        <w:pStyle w:val="TOC2"/>
        <w:rPr>
          <w:rFonts w:asciiTheme="minorHAnsi" w:eastAsiaTheme="minorEastAsia" w:hAnsiTheme="minorHAnsi" w:cstheme="minorBidi"/>
          <w:noProof/>
          <w:lang w:eastAsia="en-AU"/>
        </w:rPr>
      </w:pPr>
      <w:hyperlink w:anchor="_Toc32583987" w:history="1">
        <w:r w:rsidR="00F34B33" w:rsidRPr="0012691E">
          <w:rPr>
            <w:rStyle w:val="Hyperlink"/>
            <w:noProof/>
          </w:rPr>
          <w:t>The VEC’s principles</w:t>
        </w:r>
        <w:r w:rsidR="00F34B33">
          <w:rPr>
            <w:noProof/>
            <w:webHidden/>
          </w:rPr>
          <w:tab/>
        </w:r>
        <w:r w:rsidR="00F34B33">
          <w:rPr>
            <w:noProof/>
            <w:webHidden/>
          </w:rPr>
          <w:fldChar w:fldCharType="begin"/>
        </w:r>
        <w:r w:rsidR="00F34B33">
          <w:rPr>
            <w:noProof/>
            <w:webHidden/>
          </w:rPr>
          <w:instrText xml:space="preserve"> PAGEREF _Toc32583987 \h </w:instrText>
        </w:r>
        <w:r w:rsidR="00F34B33">
          <w:rPr>
            <w:noProof/>
            <w:webHidden/>
          </w:rPr>
        </w:r>
        <w:r w:rsidR="00F34B33">
          <w:rPr>
            <w:noProof/>
            <w:webHidden/>
          </w:rPr>
          <w:fldChar w:fldCharType="separate"/>
        </w:r>
        <w:r w:rsidR="00F34B33">
          <w:rPr>
            <w:noProof/>
            <w:webHidden/>
          </w:rPr>
          <w:t>6</w:t>
        </w:r>
        <w:r w:rsidR="00F34B33">
          <w:rPr>
            <w:noProof/>
            <w:webHidden/>
          </w:rPr>
          <w:fldChar w:fldCharType="end"/>
        </w:r>
      </w:hyperlink>
    </w:p>
    <w:p w14:paraId="319FB024" w14:textId="77777777" w:rsidR="00F34B33" w:rsidRDefault="00971EE4">
      <w:pPr>
        <w:pStyle w:val="TOC2"/>
        <w:rPr>
          <w:rFonts w:asciiTheme="minorHAnsi" w:eastAsiaTheme="minorEastAsia" w:hAnsiTheme="minorHAnsi" w:cstheme="minorBidi"/>
          <w:noProof/>
          <w:lang w:eastAsia="en-AU"/>
        </w:rPr>
      </w:pPr>
      <w:hyperlink w:anchor="_Toc32583988" w:history="1">
        <w:r w:rsidR="00F34B33" w:rsidRPr="0012691E">
          <w:rPr>
            <w:rStyle w:val="Hyperlink"/>
            <w:noProof/>
          </w:rPr>
          <w:t>Developing recommendations</w:t>
        </w:r>
        <w:r w:rsidR="00F34B33">
          <w:rPr>
            <w:noProof/>
            <w:webHidden/>
          </w:rPr>
          <w:tab/>
        </w:r>
        <w:r w:rsidR="00F34B33">
          <w:rPr>
            <w:noProof/>
            <w:webHidden/>
          </w:rPr>
          <w:fldChar w:fldCharType="begin"/>
        </w:r>
        <w:r w:rsidR="00F34B33">
          <w:rPr>
            <w:noProof/>
            <w:webHidden/>
          </w:rPr>
          <w:instrText xml:space="preserve"> PAGEREF _Toc32583988 \h </w:instrText>
        </w:r>
        <w:r w:rsidR="00F34B33">
          <w:rPr>
            <w:noProof/>
            <w:webHidden/>
          </w:rPr>
        </w:r>
        <w:r w:rsidR="00F34B33">
          <w:rPr>
            <w:noProof/>
            <w:webHidden/>
          </w:rPr>
          <w:fldChar w:fldCharType="separate"/>
        </w:r>
        <w:r w:rsidR="00F34B33">
          <w:rPr>
            <w:noProof/>
            <w:webHidden/>
          </w:rPr>
          <w:t>7</w:t>
        </w:r>
        <w:r w:rsidR="00F34B33">
          <w:rPr>
            <w:noProof/>
            <w:webHidden/>
          </w:rPr>
          <w:fldChar w:fldCharType="end"/>
        </w:r>
      </w:hyperlink>
    </w:p>
    <w:p w14:paraId="56351B6F" w14:textId="77777777" w:rsidR="00F34B33" w:rsidRDefault="00971EE4">
      <w:pPr>
        <w:pStyle w:val="TOC1"/>
        <w:rPr>
          <w:rFonts w:asciiTheme="minorHAnsi" w:eastAsiaTheme="minorEastAsia" w:hAnsiTheme="minorHAnsi" w:cstheme="minorBidi"/>
          <w:b w:val="0"/>
          <w:noProof/>
          <w:sz w:val="22"/>
          <w:lang w:eastAsia="en-AU"/>
        </w:rPr>
      </w:pPr>
      <w:hyperlink w:anchor="_Toc32583989" w:history="1">
        <w:r w:rsidR="00F34B33" w:rsidRPr="0012691E">
          <w:rPr>
            <w:rStyle w:val="Hyperlink"/>
            <w:noProof/>
          </w:rPr>
          <w:t>Mansfield Shire Council representation review</w:t>
        </w:r>
        <w:r w:rsidR="00F34B33">
          <w:rPr>
            <w:noProof/>
            <w:webHidden/>
          </w:rPr>
          <w:tab/>
        </w:r>
        <w:r w:rsidR="00F34B33">
          <w:rPr>
            <w:noProof/>
            <w:webHidden/>
          </w:rPr>
          <w:fldChar w:fldCharType="begin"/>
        </w:r>
        <w:r w:rsidR="00F34B33">
          <w:rPr>
            <w:noProof/>
            <w:webHidden/>
          </w:rPr>
          <w:instrText xml:space="preserve"> PAGEREF _Toc32583989 \h </w:instrText>
        </w:r>
        <w:r w:rsidR="00F34B33">
          <w:rPr>
            <w:noProof/>
            <w:webHidden/>
          </w:rPr>
        </w:r>
        <w:r w:rsidR="00F34B33">
          <w:rPr>
            <w:noProof/>
            <w:webHidden/>
          </w:rPr>
          <w:fldChar w:fldCharType="separate"/>
        </w:r>
        <w:r w:rsidR="00F34B33">
          <w:rPr>
            <w:noProof/>
            <w:webHidden/>
          </w:rPr>
          <w:t>10</w:t>
        </w:r>
        <w:r w:rsidR="00F34B33">
          <w:rPr>
            <w:noProof/>
            <w:webHidden/>
          </w:rPr>
          <w:fldChar w:fldCharType="end"/>
        </w:r>
      </w:hyperlink>
    </w:p>
    <w:p w14:paraId="4E6A60AB" w14:textId="77777777" w:rsidR="00F34B33" w:rsidRDefault="00971EE4">
      <w:pPr>
        <w:pStyle w:val="TOC2"/>
        <w:rPr>
          <w:rFonts w:asciiTheme="minorHAnsi" w:eastAsiaTheme="minorEastAsia" w:hAnsiTheme="minorHAnsi" w:cstheme="minorBidi"/>
          <w:noProof/>
          <w:lang w:eastAsia="en-AU"/>
        </w:rPr>
      </w:pPr>
      <w:hyperlink w:anchor="_Toc32583990" w:history="1">
        <w:r w:rsidR="00F34B33" w:rsidRPr="0012691E">
          <w:rPr>
            <w:rStyle w:val="Hyperlink"/>
            <w:noProof/>
          </w:rPr>
          <w:t>Profile of Mansfield Shire Council</w:t>
        </w:r>
        <w:r w:rsidR="00F34B33">
          <w:rPr>
            <w:noProof/>
            <w:webHidden/>
          </w:rPr>
          <w:tab/>
        </w:r>
        <w:r w:rsidR="00F34B33">
          <w:rPr>
            <w:noProof/>
            <w:webHidden/>
          </w:rPr>
          <w:fldChar w:fldCharType="begin"/>
        </w:r>
        <w:r w:rsidR="00F34B33">
          <w:rPr>
            <w:noProof/>
            <w:webHidden/>
          </w:rPr>
          <w:instrText xml:space="preserve"> PAGEREF _Toc32583990 \h </w:instrText>
        </w:r>
        <w:r w:rsidR="00F34B33">
          <w:rPr>
            <w:noProof/>
            <w:webHidden/>
          </w:rPr>
        </w:r>
        <w:r w:rsidR="00F34B33">
          <w:rPr>
            <w:noProof/>
            <w:webHidden/>
          </w:rPr>
          <w:fldChar w:fldCharType="separate"/>
        </w:r>
        <w:r w:rsidR="00F34B33">
          <w:rPr>
            <w:noProof/>
            <w:webHidden/>
          </w:rPr>
          <w:t>10</w:t>
        </w:r>
        <w:r w:rsidR="00F34B33">
          <w:rPr>
            <w:noProof/>
            <w:webHidden/>
          </w:rPr>
          <w:fldChar w:fldCharType="end"/>
        </w:r>
      </w:hyperlink>
    </w:p>
    <w:p w14:paraId="620B56D0" w14:textId="77777777" w:rsidR="00F34B33" w:rsidRDefault="00971EE4">
      <w:pPr>
        <w:pStyle w:val="TOC2"/>
        <w:rPr>
          <w:rFonts w:asciiTheme="minorHAnsi" w:eastAsiaTheme="minorEastAsia" w:hAnsiTheme="minorHAnsi" w:cstheme="minorBidi"/>
          <w:noProof/>
          <w:lang w:eastAsia="en-AU"/>
        </w:rPr>
      </w:pPr>
      <w:hyperlink w:anchor="_Toc32583991" w:history="1">
        <w:r w:rsidR="00F34B33" w:rsidRPr="0012691E">
          <w:rPr>
            <w:rStyle w:val="Hyperlink"/>
            <w:noProof/>
          </w:rPr>
          <w:t>Current number of councillors and electoral structure</w:t>
        </w:r>
        <w:r w:rsidR="00F34B33">
          <w:rPr>
            <w:noProof/>
            <w:webHidden/>
          </w:rPr>
          <w:tab/>
        </w:r>
        <w:r w:rsidR="00F34B33">
          <w:rPr>
            <w:noProof/>
            <w:webHidden/>
          </w:rPr>
          <w:fldChar w:fldCharType="begin"/>
        </w:r>
        <w:r w:rsidR="00F34B33">
          <w:rPr>
            <w:noProof/>
            <w:webHidden/>
          </w:rPr>
          <w:instrText xml:space="preserve"> PAGEREF _Toc32583991 \h </w:instrText>
        </w:r>
        <w:r w:rsidR="00F34B33">
          <w:rPr>
            <w:noProof/>
            <w:webHidden/>
          </w:rPr>
        </w:r>
        <w:r w:rsidR="00F34B33">
          <w:rPr>
            <w:noProof/>
            <w:webHidden/>
          </w:rPr>
          <w:fldChar w:fldCharType="separate"/>
        </w:r>
        <w:r w:rsidR="00F34B33">
          <w:rPr>
            <w:noProof/>
            <w:webHidden/>
          </w:rPr>
          <w:t>10</w:t>
        </w:r>
        <w:r w:rsidR="00F34B33">
          <w:rPr>
            <w:noProof/>
            <w:webHidden/>
          </w:rPr>
          <w:fldChar w:fldCharType="end"/>
        </w:r>
      </w:hyperlink>
    </w:p>
    <w:p w14:paraId="680E4978" w14:textId="77777777" w:rsidR="00F34B33" w:rsidRDefault="00971EE4">
      <w:pPr>
        <w:pStyle w:val="TOC2"/>
        <w:rPr>
          <w:rFonts w:asciiTheme="minorHAnsi" w:eastAsiaTheme="minorEastAsia" w:hAnsiTheme="minorHAnsi" w:cstheme="minorBidi"/>
          <w:noProof/>
          <w:lang w:eastAsia="en-AU"/>
        </w:rPr>
      </w:pPr>
      <w:hyperlink w:anchor="_Toc32583992" w:history="1">
        <w:r w:rsidR="00F34B33" w:rsidRPr="0012691E">
          <w:rPr>
            <w:rStyle w:val="Hyperlink"/>
            <w:noProof/>
          </w:rPr>
          <w:t>Preliminary submissions</w:t>
        </w:r>
        <w:r w:rsidR="00F34B33">
          <w:rPr>
            <w:noProof/>
            <w:webHidden/>
          </w:rPr>
          <w:tab/>
        </w:r>
        <w:r w:rsidR="00F34B33">
          <w:rPr>
            <w:noProof/>
            <w:webHidden/>
          </w:rPr>
          <w:fldChar w:fldCharType="begin"/>
        </w:r>
        <w:r w:rsidR="00F34B33">
          <w:rPr>
            <w:noProof/>
            <w:webHidden/>
          </w:rPr>
          <w:instrText xml:space="preserve"> PAGEREF _Toc32583992 \h </w:instrText>
        </w:r>
        <w:r w:rsidR="00F34B33">
          <w:rPr>
            <w:noProof/>
            <w:webHidden/>
          </w:rPr>
        </w:r>
        <w:r w:rsidR="00F34B33">
          <w:rPr>
            <w:noProof/>
            <w:webHidden/>
          </w:rPr>
          <w:fldChar w:fldCharType="separate"/>
        </w:r>
        <w:r w:rsidR="00F34B33">
          <w:rPr>
            <w:noProof/>
            <w:webHidden/>
          </w:rPr>
          <w:t>10</w:t>
        </w:r>
        <w:r w:rsidR="00F34B33">
          <w:rPr>
            <w:noProof/>
            <w:webHidden/>
          </w:rPr>
          <w:fldChar w:fldCharType="end"/>
        </w:r>
      </w:hyperlink>
    </w:p>
    <w:p w14:paraId="07256D9E" w14:textId="77777777" w:rsidR="00F34B33" w:rsidRDefault="00971EE4">
      <w:pPr>
        <w:pStyle w:val="TOC2"/>
        <w:rPr>
          <w:rFonts w:asciiTheme="minorHAnsi" w:eastAsiaTheme="minorEastAsia" w:hAnsiTheme="minorHAnsi" w:cstheme="minorBidi"/>
          <w:noProof/>
          <w:lang w:eastAsia="en-AU"/>
        </w:rPr>
      </w:pPr>
      <w:hyperlink w:anchor="_Toc32583993" w:history="1">
        <w:r w:rsidR="00F34B33" w:rsidRPr="0012691E">
          <w:rPr>
            <w:rStyle w:val="Hyperlink"/>
            <w:noProof/>
          </w:rPr>
          <w:t>Preliminary report</w:t>
        </w:r>
        <w:r w:rsidR="00F34B33">
          <w:rPr>
            <w:noProof/>
            <w:webHidden/>
          </w:rPr>
          <w:tab/>
        </w:r>
        <w:r w:rsidR="00F34B33">
          <w:rPr>
            <w:noProof/>
            <w:webHidden/>
          </w:rPr>
          <w:fldChar w:fldCharType="begin"/>
        </w:r>
        <w:r w:rsidR="00F34B33">
          <w:rPr>
            <w:noProof/>
            <w:webHidden/>
          </w:rPr>
          <w:instrText xml:space="preserve"> PAGEREF _Toc32583993 \h </w:instrText>
        </w:r>
        <w:r w:rsidR="00F34B33">
          <w:rPr>
            <w:noProof/>
            <w:webHidden/>
          </w:rPr>
        </w:r>
        <w:r w:rsidR="00F34B33">
          <w:rPr>
            <w:noProof/>
            <w:webHidden/>
          </w:rPr>
          <w:fldChar w:fldCharType="separate"/>
        </w:r>
        <w:r w:rsidR="00F34B33">
          <w:rPr>
            <w:noProof/>
            <w:webHidden/>
          </w:rPr>
          <w:t>10</w:t>
        </w:r>
        <w:r w:rsidR="00F34B33">
          <w:rPr>
            <w:noProof/>
            <w:webHidden/>
          </w:rPr>
          <w:fldChar w:fldCharType="end"/>
        </w:r>
      </w:hyperlink>
    </w:p>
    <w:p w14:paraId="41EB04E4" w14:textId="77777777" w:rsidR="00F34B33" w:rsidRDefault="00971EE4">
      <w:pPr>
        <w:pStyle w:val="TOC1"/>
        <w:rPr>
          <w:rFonts w:asciiTheme="minorHAnsi" w:eastAsiaTheme="minorEastAsia" w:hAnsiTheme="minorHAnsi" w:cstheme="minorBidi"/>
          <w:b w:val="0"/>
          <w:noProof/>
          <w:sz w:val="22"/>
          <w:lang w:eastAsia="en-AU"/>
        </w:rPr>
      </w:pPr>
      <w:hyperlink w:anchor="_Toc32583994" w:history="1">
        <w:r w:rsidR="00F34B33" w:rsidRPr="0012691E">
          <w:rPr>
            <w:rStyle w:val="Hyperlink"/>
            <w:noProof/>
          </w:rPr>
          <w:t>Public response</w:t>
        </w:r>
        <w:r w:rsidR="00F34B33">
          <w:rPr>
            <w:noProof/>
            <w:webHidden/>
          </w:rPr>
          <w:tab/>
        </w:r>
        <w:r w:rsidR="00F34B33">
          <w:rPr>
            <w:noProof/>
            <w:webHidden/>
          </w:rPr>
          <w:fldChar w:fldCharType="begin"/>
        </w:r>
        <w:r w:rsidR="00F34B33">
          <w:rPr>
            <w:noProof/>
            <w:webHidden/>
          </w:rPr>
          <w:instrText xml:space="preserve"> PAGEREF _Toc32583994 \h </w:instrText>
        </w:r>
        <w:r w:rsidR="00F34B33">
          <w:rPr>
            <w:noProof/>
            <w:webHidden/>
          </w:rPr>
        </w:r>
        <w:r w:rsidR="00F34B33">
          <w:rPr>
            <w:noProof/>
            <w:webHidden/>
          </w:rPr>
          <w:fldChar w:fldCharType="separate"/>
        </w:r>
        <w:r w:rsidR="00F34B33">
          <w:rPr>
            <w:noProof/>
            <w:webHidden/>
          </w:rPr>
          <w:t>13</w:t>
        </w:r>
        <w:r w:rsidR="00F34B33">
          <w:rPr>
            <w:noProof/>
            <w:webHidden/>
          </w:rPr>
          <w:fldChar w:fldCharType="end"/>
        </w:r>
      </w:hyperlink>
    </w:p>
    <w:p w14:paraId="70276509" w14:textId="77777777" w:rsidR="00F34B33" w:rsidRDefault="00971EE4">
      <w:pPr>
        <w:pStyle w:val="TOC2"/>
        <w:rPr>
          <w:rFonts w:asciiTheme="minorHAnsi" w:eastAsiaTheme="minorEastAsia" w:hAnsiTheme="minorHAnsi" w:cstheme="minorBidi"/>
          <w:noProof/>
          <w:lang w:eastAsia="en-AU"/>
        </w:rPr>
      </w:pPr>
      <w:hyperlink w:anchor="_Toc32583995" w:history="1">
        <w:r w:rsidR="00F34B33" w:rsidRPr="0012691E">
          <w:rPr>
            <w:rStyle w:val="Hyperlink"/>
            <w:noProof/>
          </w:rPr>
          <w:t>Response submissions</w:t>
        </w:r>
        <w:r w:rsidR="00F34B33">
          <w:rPr>
            <w:noProof/>
            <w:webHidden/>
          </w:rPr>
          <w:tab/>
        </w:r>
        <w:r w:rsidR="00F34B33">
          <w:rPr>
            <w:noProof/>
            <w:webHidden/>
          </w:rPr>
          <w:fldChar w:fldCharType="begin"/>
        </w:r>
        <w:r w:rsidR="00F34B33">
          <w:rPr>
            <w:noProof/>
            <w:webHidden/>
          </w:rPr>
          <w:instrText xml:space="preserve"> PAGEREF _Toc32583995 \h </w:instrText>
        </w:r>
        <w:r w:rsidR="00F34B33">
          <w:rPr>
            <w:noProof/>
            <w:webHidden/>
          </w:rPr>
        </w:r>
        <w:r w:rsidR="00F34B33">
          <w:rPr>
            <w:noProof/>
            <w:webHidden/>
          </w:rPr>
          <w:fldChar w:fldCharType="separate"/>
        </w:r>
        <w:r w:rsidR="00F34B33">
          <w:rPr>
            <w:noProof/>
            <w:webHidden/>
          </w:rPr>
          <w:t>13</w:t>
        </w:r>
        <w:r w:rsidR="00F34B33">
          <w:rPr>
            <w:noProof/>
            <w:webHidden/>
          </w:rPr>
          <w:fldChar w:fldCharType="end"/>
        </w:r>
      </w:hyperlink>
    </w:p>
    <w:p w14:paraId="325BEBAD" w14:textId="77777777" w:rsidR="00F34B33" w:rsidRDefault="00971EE4">
      <w:pPr>
        <w:pStyle w:val="TOC2"/>
        <w:rPr>
          <w:rFonts w:asciiTheme="minorHAnsi" w:eastAsiaTheme="minorEastAsia" w:hAnsiTheme="minorHAnsi" w:cstheme="minorBidi"/>
          <w:noProof/>
          <w:lang w:eastAsia="en-AU"/>
        </w:rPr>
      </w:pPr>
      <w:hyperlink w:anchor="_Toc32583996" w:history="1">
        <w:r w:rsidR="00F34B33" w:rsidRPr="0012691E">
          <w:rPr>
            <w:rStyle w:val="Hyperlink"/>
            <w:noProof/>
          </w:rPr>
          <w:t>Public hearing</w:t>
        </w:r>
        <w:r w:rsidR="00F34B33">
          <w:rPr>
            <w:noProof/>
            <w:webHidden/>
          </w:rPr>
          <w:tab/>
        </w:r>
        <w:r w:rsidR="00F34B33">
          <w:rPr>
            <w:noProof/>
            <w:webHidden/>
          </w:rPr>
          <w:fldChar w:fldCharType="begin"/>
        </w:r>
        <w:r w:rsidR="00F34B33">
          <w:rPr>
            <w:noProof/>
            <w:webHidden/>
          </w:rPr>
          <w:instrText xml:space="preserve"> PAGEREF _Toc32583996 \h </w:instrText>
        </w:r>
        <w:r w:rsidR="00F34B33">
          <w:rPr>
            <w:noProof/>
            <w:webHidden/>
          </w:rPr>
        </w:r>
        <w:r w:rsidR="00F34B33">
          <w:rPr>
            <w:noProof/>
            <w:webHidden/>
          </w:rPr>
          <w:fldChar w:fldCharType="separate"/>
        </w:r>
        <w:r w:rsidR="00F34B33">
          <w:rPr>
            <w:noProof/>
            <w:webHidden/>
          </w:rPr>
          <w:t>13</w:t>
        </w:r>
        <w:r w:rsidR="00F34B33">
          <w:rPr>
            <w:noProof/>
            <w:webHidden/>
          </w:rPr>
          <w:fldChar w:fldCharType="end"/>
        </w:r>
      </w:hyperlink>
    </w:p>
    <w:p w14:paraId="0B6D2AC9" w14:textId="77777777" w:rsidR="00F34B33" w:rsidRDefault="00971EE4">
      <w:pPr>
        <w:pStyle w:val="TOC1"/>
        <w:rPr>
          <w:rFonts w:asciiTheme="minorHAnsi" w:eastAsiaTheme="minorEastAsia" w:hAnsiTheme="minorHAnsi" w:cstheme="minorBidi"/>
          <w:b w:val="0"/>
          <w:noProof/>
          <w:sz w:val="22"/>
          <w:lang w:eastAsia="en-AU"/>
        </w:rPr>
      </w:pPr>
      <w:hyperlink w:anchor="_Toc32583997" w:history="1">
        <w:r w:rsidR="00F34B33" w:rsidRPr="0012691E">
          <w:rPr>
            <w:rStyle w:val="Hyperlink"/>
            <w:noProof/>
          </w:rPr>
          <w:t>Findings and recommendation</w:t>
        </w:r>
        <w:r w:rsidR="00F34B33">
          <w:rPr>
            <w:noProof/>
            <w:webHidden/>
          </w:rPr>
          <w:tab/>
        </w:r>
        <w:r w:rsidR="00F34B33">
          <w:rPr>
            <w:noProof/>
            <w:webHidden/>
          </w:rPr>
          <w:fldChar w:fldCharType="begin"/>
        </w:r>
        <w:r w:rsidR="00F34B33">
          <w:rPr>
            <w:noProof/>
            <w:webHidden/>
          </w:rPr>
          <w:instrText xml:space="preserve"> PAGEREF _Toc32583997 \h </w:instrText>
        </w:r>
        <w:r w:rsidR="00F34B33">
          <w:rPr>
            <w:noProof/>
            <w:webHidden/>
          </w:rPr>
        </w:r>
        <w:r w:rsidR="00F34B33">
          <w:rPr>
            <w:noProof/>
            <w:webHidden/>
          </w:rPr>
          <w:fldChar w:fldCharType="separate"/>
        </w:r>
        <w:r w:rsidR="00F34B33">
          <w:rPr>
            <w:noProof/>
            <w:webHidden/>
          </w:rPr>
          <w:t>15</w:t>
        </w:r>
        <w:r w:rsidR="00F34B33">
          <w:rPr>
            <w:noProof/>
            <w:webHidden/>
          </w:rPr>
          <w:fldChar w:fldCharType="end"/>
        </w:r>
      </w:hyperlink>
    </w:p>
    <w:p w14:paraId="760F19D0" w14:textId="77777777" w:rsidR="00F34B33" w:rsidRDefault="00971EE4">
      <w:pPr>
        <w:pStyle w:val="TOC2"/>
        <w:rPr>
          <w:rFonts w:asciiTheme="minorHAnsi" w:eastAsiaTheme="minorEastAsia" w:hAnsiTheme="minorHAnsi" w:cstheme="minorBidi"/>
          <w:noProof/>
          <w:lang w:eastAsia="en-AU"/>
        </w:rPr>
      </w:pPr>
      <w:hyperlink w:anchor="_Toc32583998" w:history="1">
        <w:r w:rsidR="00F34B33" w:rsidRPr="0012691E">
          <w:rPr>
            <w:rStyle w:val="Hyperlink"/>
            <w:noProof/>
          </w:rPr>
          <w:t>The VEC’s findings</w:t>
        </w:r>
        <w:r w:rsidR="00F34B33">
          <w:rPr>
            <w:noProof/>
            <w:webHidden/>
          </w:rPr>
          <w:tab/>
        </w:r>
        <w:r w:rsidR="00F34B33">
          <w:rPr>
            <w:noProof/>
            <w:webHidden/>
          </w:rPr>
          <w:fldChar w:fldCharType="begin"/>
        </w:r>
        <w:r w:rsidR="00F34B33">
          <w:rPr>
            <w:noProof/>
            <w:webHidden/>
          </w:rPr>
          <w:instrText xml:space="preserve"> PAGEREF _Toc32583998 \h </w:instrText>
        </w:r>
        <w:r w:rsidR="00F34B33">
          <w:rPr>
            <w:noProof/>
            <w:webHidden/>
          </w:rPr>
        </w:r>
        <w:r w:rsidR="00F34B33">
          <w:rPr>
            <w:noProof/>
            <w:webHidden/>
          </w:rPr>
          <w:fldChar w:fldCharType="separate"/>
        </w:r>
        <w:r w:rsidR="00F34B33">
          <w:rPr>
            <w:noProof/>
            <w:webHidden/>
          </w:rPr>
          <w:t>15</w:t>
        </w:r>
        <w:r w:rsidR="00F34B33">
          <w:rPr>
            <w:noProof/>
            <w:webHidden/>
          </w:rPr>
          <w:fldChar w:fldCharType="end"/>
        </w:r>
      </w:hyperlink>
    </w:p>
    <w:p w14:paraId="3C5E34A1" w14:textId="77777777" w:rsidR="00F34B33" w:rsidRDefault="00971EE4">
      <w:pPr>
        <w:pStyle w:val="TOC2"/>
        <w:rPr>
          <w:rFonts w:asciiTheme="minorHAnsi" w:eastAsiaTheme="minorEastAsia" w:hAnsiTheme="minorHAnsi" w:cstheme="minorBidi"/>
          <w:noProof/>
          <w:lang w:eastAsia="en-AU"/>
        </w:rPr>
      </w:pPr>
      <w:hyperlink w:anchor="_Toc32583999" w:history="1">
        <w:r w:rsidR="00F34B33" w:rsidRPr="0012691E">
          <w:rPr>
            <w:rStyle w:val="Hyperlink"/>
            <w:noProof/>
          </w:rPr>
          <w:t>The VEC’s recommendation</w:t>
        </w:r>
        <w:r w:rsidR="00F34B33">
          <w:rPr>
            <w:noProof/>
            <w:webHidden/>
          </w:rPr>
          <w:tab/>
        </w:r>
        <w:r w:rsidR="00F34B33">
          <w:rPr>
            <w:noProof/>
            <w:webHidden/>
          </w:rPr>
          <w:fldChar w:fldCharType="begin"/>
        </w:r>
        <w:r w:rsidR="00F34B33">
          <w:rPr>
            <w:noProof/>
            <w:webHidden/>
          </w:rPr>
          <w:instrText xml:space="preserve"> PAGEREF _Toc32583999 \h </w:instrText>
        </w:r>
        <w:r w:rsidR="00F34B33">
          <w:rPr>
            <w:noProof/>
            <w:webHidden/>
          </w:rPr>
        </w:r>
        <w:r w:rsidR="00F34B33">
          <w:rPr>
            <w:noProof/>
            <w:webHidden/>
          </w:rPr>
          <w:fldChar w:fldCharType="separate"/>
        </w:r>
        <w:r w:rsidR="00F34B33">
          <w:rPr>
            <w:noProof/>
            <w:webHidden/>
          </w:rPr>
          <w:t>15</w:t>
        </w:r>
        <w:r w:rsidR="00F34B33">
          <w:rPr>
            <w:noProof/>
            <w:webHidden/>
          </w:rPr>
          <w:fldChar w:fldCharType="end"/>
        </w:r>
      </w:hyperlink>
    </w:p>
    <w:p w14:paraId="0515C5E8" w14:textId="77777777" w:rsidR="00F34B33" w:rsidRDefault="00971EE4">
      <w:pPr>
        <w:pStyle w:val="TOC1"/>
        <w:rPr>
          <w:rFonts w:asciiTheme="minorHAnsi" w:eastAsiaTheme="minorEastAsia" w:hAnsiTheme="minorHAnsi" w:cstheme="minorBidi"/>
          <w:b w:val="0"/>
          <w:noProof/>
          <w:sz w:val="22"/>
          <w:lang w:eastAsia="en-AU"/>
        </w:rPr>
      </w:pPr>
      <w:hyperlink w:anchor="_Toc32584000" w:history="1">
        <w:r w:rsidR="00F34B33" w:rsidRPr="0012691E">
          <w:rPr>
            <w:rStyle w:val="Hyperlink"/>
            <w:noProof/>
          </w:rPr>
          <w:t>Appendix 1: Public involvement</w:t>
        </w:r>
        <w:r w:rsidR="00F34B33">
          <w:rPr>
            <w:noProof/>
            <w:webHidden/>
          </w:rPr>
          <w:tab/>
        </w:r>
        <w:r w:rsidR="00F34B33">
          <w:rPr>
            <w:noProof/>
            <w:webHidden/>
          </w:rPr>
          <w:fldChar w:fldCharType="begin"/>
        </w:r>
        <w:r w:rsidR="00F34B33">
          <w:rPr>
            <w:noProof/>
            <w:webHidden/>
          </w:rPr>
          <w:instrText xml:space="preserve"> PAGEREF _Toc32584000 \h </w:instrText>
        </w:r>
        <w:r w:rsidR="00F34B33">
          <w:rPr>
            <w:noProof/>
            <w:webHidden/>
          </w:rPr>
        </w:r>
        <w:r w:rsidR="00F34B33">
          <w:rPr>
            <w:noProof/>
            <w:webHidden/>
          </w:rPr>
          <w:fldChar w:fldCharType="separate"/>
        </w:r>
        <w:r w:rsidR="00F34B33">
          <w:rPr>
            <w:noProof/>
            <w:webHidden/>
          </w:rPr>
          <w:t>16</w:t>
        </w:r>
        <w:r w:rsidR="00F34B33">
          <w:rPr>
            <w:noProof/>
            <w:webHidden/>
          </w:rPr>
          <w:fldChar w:fldCharType="end"/>
        </w:r>
      </w:hyperlink>
    </w:p>
    <w:p w14:paraId="2F55F859" w14:textId="77777777" w:rsidR="00F34B33" w:rsidRDefault="00971EE4">
      <w:pPr>
        <w:pStyle w:val="TOC1"/>
        <w:rPr>
          <w:rFonts w:asciiTheme="minorHAnsi" w:eastAsiaTheme="minorEastAsia" w:hAnsiTheme="minorHAnsi" w:cstheme="minorBidi"/>
          <w:b w:val="0"/>
          <w:noProof/>
          <w:sz w:val="22"/>
          <w:lang w:eastAsia="en-AU"/>
        </w:rPr>
      </w:pPr>
      <w:hyperlink w:anchor="_Toc32584001" w:history="1">
        <w:r w:rsidR="00F34B33" w:rsidRPr="0012691E">
          <w:rPr>
            <w:rStyle w:val="Hyperlink"/>
            <w:noProof/>
          </w:rPr>
          <w:t>Appendix 2: Map</w:t>
        </w:r>
        <w:r w:rsidR="00F34B33">
          <w:rPr>
            <w:noProof/>
            <w:webHidden/>
          </w:rPr>
          <w:tab/>
        </w:r>
        <w:r w:rsidR="00F34B33">
          <w:rPr>
            <w:noProof/>
            <w:webHidden/>
          </w:rPr>
          <w:fldChar w:fldCharType="begin"/>
        </w:r>
        <w:r w:rsidR="00F34B33">
          <w:rPr>
            <w:noProof/>
            <w:webHidden/>
          </w:rPr>
          <w:instrText xml:space="preserve"> PAGEREF _Toc32584001 \h </w:instrText>
        </w:r>
        <w:r w:rsidR="00F34B33">
          <w:rPr>
            <w:noProof/>
            <w:webHidden/>
          </w:rPr>
        </w:r>
        <w:r w:rsidR="00F34B33">
          <w:rPr>
            <w:noProof/>
            <w:webHidden/>
          </w:rPr>
          <w:fldChar w:fldCharType="separate"/>
        </w:r>
        <w:r w:rsidR="00F34B33">
          <w:rPr>
            <w:noProof/>
            <w:webHidden/>
          </w:rPr>
          <w:t>17</w:t>
        </w:r>
        <w:r w:rsidR="00F34B33">
          <w:rPr>
            <w:noProof/>
            <w:webHidden/>
          </w:rPr>
          <w:fldChar w:fldCharType="end"/>
        </w:r>
      </w:hyperlink>
    </w:p>
    <w:p w14:paraId="10254879" w14:textId="77777777" w:rsidR="00F34B33" w:rsidRDefault="00971EE4">
      <w:pPr>
        <w:pStyle w:val="TOC1"/>
        <w:rPr>
          <w:rFonts w:asciiTheme="minorHAnsi" w:eastAsiaTheme="minorEastAsia" w:hAnsiTheme="minorHAnsi" w:cstheme="minorBidi"/>
          <w:b w:val="0"/>
          <w:noProof/>
          <w:sz w:val="22"/>
          <w:lang w:eastAsia="en-AU"/>
        </w:rPr>
      </w:pPr>
      <w:hyperlink w:anchor="_Toc32584002" w:history="1">
        <w:r w:rsidR="00F34B33" w:rsidRPr="0012691E">
          <w:rPr>
            <w:rStyle w:val="Hyperlink"/>
            <w:noProof/>
          </w:rPr>
          <w:t>Appendix 3: Public information program</w:t>
        </w:r>
        <w:r w:rsidR="00F34B33">
          <w:rPr>
            <w:noProof/>
            <w:webHidden/>
          </w:rPr>
          <w:tab/>
        </w:r>
        <w:r w:rsidR="00F34B33">
          <w:rPr>
            <w:noProof/>
            <w:webHidden/>
          </w:rPr>
          <w:fldChar w:fldCharType="begin"/>
        </w:r>
        <w:r w:rsidR="00F34B33">
          <w:rPr>
            <w:noProof/>
            <w:webHidden/>
          </w:rPr>
          <w:instrText xml:space="preserve"> PAGEREF _Toc32584002 \h </w:instrText>
        </w:r>
        <w:r w:rsidR="00F34B33">
          <w:rPr>
            <w:noProof/>
            <w:webHidden/>
          </w:rPr>
        </w:r>
        <w:r w:rsidR="00F34B33">
          <w:rPr>
            <w:noProof/>
            <w:webHidden/>
          </w:rPr>
          <w:fldChar w:fldCharType="separate"/>
        </w:r>
        <w:r w:rsidR="00F34B33">
          <w:rPr>
            <w:noProof/>
            <w:webHidden/>
          </w:rPr>
          <w:t>19</w:t>
        </w:r>
        <w:r w:rsidR="00F34B33">
          <w:rPr>
            <w:noProof/>
            <w:webHidden/>
          </w:rPr>
          <w:fldChar w:fldCharType="end"/>
        </w:r>
      </w:hyperlink>
    </w:p>
    <w:p w14:paraId="015A1125" w14:textId="77777777" w:rsidR="00F66E14" w:rsidRPr="009C148F" w:rsidRDefault="00F34B33">
      <w:pPr>
        <w:pStyle w:val="TOC1"/>
        <w:rPr>
          <w:rFonts w:ascii="Calibri" w:eastAsia="DengXian" w:hAnsi="Calibri"/>
          <w:b w:val="0"/>
          <w:noProof/>
          <w:sz w:val="22"/>
          <w:lang w:eastAsia="en-AU"/>
        </w:rPr>
      </w:pPr>
      <w:r>
        <w:rPr>
          <w:rFonts w:ascii="Calibri" w:eastAsia="DengXian" w:hAnsi="Calibri"/>
          <w:b w:val="0"/>
          <w:noProof/>
          <w:sz w:val="22"/>
          <w:lang w:eastAsia="en-AU"/>
        </w:rPr>
        <w:fldChar w:fldCharType="end"/>
      </w:r>
    </w:p>
    <w:p w14:paraId="77505AFB" w14:textId="77777777" w:rsidR="00F66E14" w:rsidRPr="00EF4ACB" w:rsidRDefault="00F66E14" w:rsidP="007766A1">
      <w:pPr>
        <w:pStyle w:val="BodyText"/>
        <w:sectPr w:rsidR="00F66E14" w:rsidRPr="00EF4ACB" w:rsidSect="00581248">
          <w:footerReference w:type="even" r:id="rId15"/>
          <w:pgSz w:w="11906" w:h="16838" w:code="9"/>
          <w:pgMar w:top="1440" w:right="1021" w:bottom="1134" w:left="1440" w:header="709" w:footer="709" w:gutter="0"/>
          <w:pgNumType w:start="1"/>
          <w:cols w:space="708"/>
          <w:titlePg/>
          <w:docGrid w:linePitch="360"/>
        </w:sectPr>
      </w:pPr>
    </w:p>
    <w:p w14:paraId="60BF4545" w14:textId="77777777" w:rsidR="00F66E14" w:rsidRPr="00EF4ACB" w:rsidRDefault="00F66E14" w:rsidP="009E6D4C">
      <w:pPr>
        <w:pStyle w:val="Heading1numbered"/>
        <w:keepNext w:val="0"/>
        <w:keepLines w:val="0"/>
        <w:widowControl w:val="0"/>
        <w:rPr>
          <w:rFonts w:ascii="Century Gothic" w:hAnsi="Century Gothic"/>
        </w:rPr>
      </w:pPr>
      <w:bookmarkStart w:id="1" w:name="_Toc32583982"/>
      <w:r w:rsidRPr="00EF4ACB">
        <w:rPr>
          <w:rFonts w:ascii="Century Gothic" w:hAnsi="Century Gothic"/>
        </w:rPr>
        <w:lastRenderedPageBreak/>
        <w:t>Recommendation</w:t>
      </w:r>
      <w:bookmarkEnd w:id="1"/>
    </w:p>
    <w:p w14:paraId="24D157A3" w14:textId="144694C8" w:rsidR="00F66E14" w:rsidRPr="00EF4ACB" w:rsidRDefault="00F66E14" w:rsidP="00100C30">
      <w:pPr>
        <w:pStyle w:val="BodyText"/>
      </w:pPr>
      <w:r w:rsidRPr="00EF4ACB">
        <w:t xml:space="preserve">The Victorian Electoral Commission </w:t>
      </w:r>
      <w:r w:rsidRPr="001A015E">
        <w:t xml:space="preserve">recommends that </w:t>
      </w:r>
      <w:r w:rsidRPr="001A015E">
        <w:rPr>
          <w:noProof/>
        </w:rPr>
        <w:t>Mansfield Shire Council</w:t>
      </w:r>
      <w:r w:rsidRPr="00EF4ACB">
        <w:t xml:space="preserve"> </w:t>
      </w:r>
      <w:r w:rsidR="00372ADE">
        <w:t>change</w:t>
      </w:r>
      <w:r w:rsidRPr="00372ADE">
        <w:t xml:space="preserve"> to</w:t>
      </w:r>
      <w:r w:rsidRPr="00EF4ACB">
        <w:t xml:space="preserve"> consist of </w:t>
      </w:r>
      <w:r w:rsidR="00FC3556">
        <w:t>five</w:t>
      </w:r>
      <w:r w:rsidRPr="00EF4ACB">
        <w:t xml:space="preserve"> councillors</w:t>
      </w:r>
      <w:r w:rsidR="00FC3556">
        <w:t xml:space="preserve"> </w:t>
      </w:r>
      <w:r w:rsidRPr="00EF4ACB">
        <w:t xml:space="preserve">elected from </w:t>
      </w:r>
      <w:r w:rsidR="00FC3556">
        <w:t xml:space="preserve">an </w:t>
      </w:r>
      <w:proofErr w:type="spellStart"/>
      <w:r w:rsidR="00FC3556">
        <w:t>unsubdivided</w:t>
      </w:r>
      <w:proofErr w:type="spellEnd"/>
      <w:r w:rsidR="00FC3556">
        <w:t xml:space="preserve"> </w:t>
      </w:r>
      <w:r w:rsidRPr="00372ADE">
        <w:t>electoral structure</w:t>
      </w:r>
      <w:r w:rsidRPr="00EF4ACB">
        <w:t>.</w:t>
      </w:r>
    </w:p>
    <w:p w14:paraId="0E1BCD74" w14:textId="77777777" w:rsidR="00F66E14" w:rsidRPr="00EF4ACB" w:rsidRDefault="00F66E14" w:rsidP="00311FAE">
      <w:pPr>
        <w:pStyle w:val="BodyText"/>
      </w:pPr>
      <w:r w:rsidRPr="00EF4ACB">
        <w:t xml:space="preserve">This recommendation is submitted to the Minister for Local Government as required by the </w:t>
      </w:r>
      <w:r w:rsidRPr="00EF4ACB">
        <w:rPr>
          <w:i/>
        </w:rPr>
        <w:t>Local Government Act 1989</w:t>
      </w:r>
      <w:r w:rsidRPr="00EF4ACB">
        <w:t>.</w:t>
      </w:r>
    </w:p>
    <w:p w14:paraId="5BA58852" w14:textId="6EFA7973" w:rsidR="00F66E14" w:rsidRPr="00EF4ACB" w:rsidRDefault="00F66E14" w:rsidP="00311FAE">
      <w:pPr>
        <w:pStyle w:val="BodyText"/>
      </w:pPr>
      <w:r w:rsidRPr="00EF4ACB">
        <w:t xml:space="preserve">Please see </w:t>
      </w:r>
      <w:r w:rsidRPr="001A015E">
        <w:t>Appendix 2 for a map of this</w:t>
      </w:r>
      <w:r w:rsidRPr="00EF4ACB">
        <w:t xml:space="preserve"> recommended structure.</w:t>
      </w:r>
    </w:p>
    <w:p w14:paraId="786B9FEE" w14:textId="77777777" w:rsidR="00F66E14" w:rsidRPr="00EF4ACB" w:rsidRDefault="00F66E14" w:rsidP="00311FAE">
      <w:pPr>
        <w:pStyle w:val="BodyText"/>
      </w:pPr>
    </w:p>
    <w:p w14:paraId="53E36E1D" w14:textId="77777777" w:rsidR="00F66E14" w:rsidRPr="00EF4ACB" w:rsidRDefault="00F66E14" w:rsidP="00675FC6">
      <w:pPr>
        <w:pStyle w:val="BodyText"/>
      </w:pPr>
    </w:p>
    <w:p w14:paraId="570423BA" w14:textId="77777777" w:rsidR="00F66E14" w:rsidRPr="00EF4ACB" w:rsidRDefault="00F66E14" w:rsidP="00675FC6">
      <w:pPr>
        <w:pStyle w:val="BodyText"/>
      </w:pPr>
    </w:p>
    <w:p w14:paraId="54DB8490" w14:textId="77777777" w:rsidR="00F66E14" w:rsidRPr="00EF4ACB" w:rsidRDefault="00F66E14" w:rsidP="004A72FE">
      <w:pPr>
        <w:pStyle w:val="Heading1numbered"/>
        <w:keepNext w:val="0"/>
        <w:keepLines w:val="0"/>
        <w:widowControl w:val="0"/>
        <w:rPr>
          <w:rFonts w:ascii="Century Gothic" w:hAnsi="Century Gothic"/>
        </w:rPr>
      </w:pPr>
      <w:r w:rsidRPr="00EF4ACB">
        <w:rPr>
          <w:rFonts w:ascii="Century Gothic" w:hAnsi="Century Gothic"/>
        </w:rPr>
        <w:br w:type="page"/>
      </w:r>
      <w:bookmarkStart w:id="2" w:name="_Toc32583983"/>
      <w:r w:rsidRPr="00EF4ACB">
        <w:rPr>
          <w:rFonts w:ascii="Century Gothic" w:hAnsi="Century Gothic"/>
        </w:rPr>
        <w:lastRenderedPageBreak/>
        <w:t>Executive summary</w:t>
      </w:r>
      <w:bookmarkEnd w:id="2"/>
    </w:p>
    <w:p w14:paraId="04797B08" w14:textId="77777777" w:rsidR="00F66E14" w:rsidRPr="00EF4ACB" w:rsidRDefault="00F66E14" w:rsidP="00067BB7">
      <w:pPr>
        <w:pStyle w:val="BodyText"/>
      </w:pPr>
      <w:r w:rsidRPr="00EF4ACB">
        <w:t xml:space="preserve">The </w:t>
      </w:r>
      <w:r w:rsidRPr="00EF4ACB">
        <w:rPr>
          <w:i/>
        </w:rPr>
        <w:t>Local Government Act 1989</w:t>
      </w:r>
      <w:r w:rsidRPr="00EF4ACB">
        <w:t xml:space="preserve"> (the Act) requires the Victorian Electoral Commission (VEC) to conduct an electoral representation review of each </w:t>
      </w:r>
      <w:r>
        <w:t>local council</w:t>
      </w:r>
      <w:r w:rsidRPr="00EF4ACB">
        <w:t xml:space="preserve"> in Victoria before every third council general election.</w:t>
      </w:r>
    </w:p>
    <w:p w14:paraId="437198E7" w14:textId="77777777" w:rsidR="00F66E14" w:rsidRPr="00EF4ACB" w:rsidRDefault="00F66E14" w:rsidP="00ED68D1">
      <w:pPr>
        <w:pStyle w:val="BodyText"/>
      </w:pPr>
      <w:r w:rsidRPr="00EF4ACB">
        <w:t xml:space="preserve">The purpose of an electoral representation review is to recommend </w:t>
      </w:r>
      <w:r>
        <w:t xml:space="preserve">the number of councillors and the </w:t>
      </w:r>
      <w:r w:rsidRPr="00EF4ACB">
        <w:t>electoral structure that provides ‘fair and equitable representation for the persons who are entitled to vote at a general election of the Council.’</w:t>
      </w:r>
      <w:r w:rsidRPr="00EF4ACB">
        <w:rPr>
          <w:rStyle w:val="FootnoteReference"/>
        </w:rPr>
        <w:footnoteReference w:id="1"/>
      </w:r>
      <w:r w:rsidRPr="00EF4ACB">
        <w:t xml:space="preserve"> The matters considered by a review are:</w:t>
      </w:r>
    </w:p>
    <w:p w14:paraId="7803BC31" w14:textId="77777777" w:rsidR="00F66E14" w:rsidRPr="00EF4ACB" w:rsidRDefault="00F66E14" w:rsidP="0050750B">
      <w:pPr>
        <w:pStyle w:val="BodyText"/>
        <w:numPr>
          <w:ilvl w:val="0"/>
          <w:numId w:val="2"/>
        </w:numPr>
      </w:pPr>
      <w:r w:rsidRPr="00EF4ACB">
        <w:t xml:space="preserve">the number of councillors </w:t>
      </w:r>
    </w:p>
    <w:p w14:paraId="4257A1AE" w14:textId="77777777" w:rsidR="00F66E14" w:rsidRPr="00EF4ACB" w:rsidRDefault="00F66E14" w:rsidP="0050750B">
      <w:pPr>
        <w:pStyle w:val="BodyText"/>
        <w:numPr>
          <w:ilvl w:val="0"/>
          <w:numId w:val="3"/>
        </w:numPr>
      </w:pPr>
      <w:r w:rsidRPr="00EF4ACB">
        <w:t xml:space="preserve">the electoral structure of the council (whether the council should be </w:t>
      </w:r>
      <w:proofErr w:type="spellStart"/>
      <w:r w:rsidRPr="00EF4ACB">
        <w:t>unsubdivided</w:t>
      </w:r>
      <w:proofErr w:type="spellEnd"/>
      <w:r w:rsidRPr="00EF4ACB">
        <w:t xml:space="preserve"> or divided into wards and, if subdivided, the details of the ward boundaries and the number of councillors per ward).</w:t>
      </w:r>
    </w:p>
    <w:p w14:paraId="36E2700C" w14:textId="77777777" w:rsidR="00F66E14" w:rsidRPr="00EF4ACB" w:rsidRDefault="00F66E14" w:rsidP="009956C1">
      <w:pPr>
        <w:pStyle w:val="BodyText"/>
      </w:pPr>
      <w:r w:rsidRPr="00EF4ACB">
        <w:t>The VEC conducts all reviews based on three main principles:</w:t>
      </w:r>
    </w:p>
    <w:p w14:paraId="27F13C0D" w14:textId="77777777" w:rsidR="00F66E14" w:rsidRPr="00EF4ACB" w:rsidRDefault="00F66E14" w:rsidP="0050750B">
      <w:pPr>
        <w:pStyle w:val="BodyText"/>
        <w:numPr>
          <w:ilvl w:val="0"/>
          <w:numId w:val="4"/>
        </w:numPr>
      </w:pPr>
      <w:r w:rsidRPr="00EF4ACB">
        <w:t xml:space="preserve">taking a consistent, State-wide approach to the total number of councillors </w:t>
      </w:r>
    </w:p>
    <w:p w14:paraId="6C998155" w14:textId="77777777" w:rsidR="00F66E14" w:rsidRPr="00EF4ACB" w:rsidRDefault="00F66E14" w:rsidP="0050750B">
      <w:pPr>
        <w:pStyle w:val="BodyText"/>
        <w:numPr>
          <w:ilvl w:val="0"/>
          <w:numId w:val="4"/>
        </w:numPr>
      </w:pPr>
      <w:r w:rsidRPr="00EF4ACB">
        <w:t xml:space="preserve">if subdivided, ensuring the number of voters represented by each councillor is within plus-or-minus 10% of the average number of voters per councillor for that local council </w:t>
      </w:r>
    </w:p>
    <w:p w14:paraId="58038613" w14:textId="77777777" w:rsidR="00F66E14" w:rsidRPr="00EF4ACB" w:rsidRDefault="00F66E14" w:rsidP="0050750B">
      <w:pPr>
        <w:pStyle w:val="BodyText"/>
        <w:numPr>
          <w:ilvl w:val="0"/>
          <w:numId w:val="4"/>
        </w:numPr>
      </w:pPr>
      <w:r w:rsidRPr="00EF4ACB">
        <w:t>ensuring communities of interest are as fairly represented as possible.</w:t>
      </w:r>
    </w:p>
    <w:p w14:paraId="1A3B6BD5" w14:textId="77777777" w:rsidR="00F66E14" w:rsidRPr="00EF4ACB" w:rsidRDefault="00F66E14" w:rsidP="006845EE">
      <w:pPr>
        <w:pStyle w:val="Heading2noTOC"/>
      </w:pPr>
      <w:r w:rsidRPr="00EF4ACB">
        <w:t xml:space="preserve">Current </w:t>
      </w:r>
      <w:r>
        <w:t xml:space="preserve">number of councillors and </w:t>
      </w:r>
      <w:r w:rsidRPr="00EF4ACB">
        <w:t>electoral structure</w:t>
      </w:r>
    </w:p>
    <w:p w14:paraId="74A4978D" w14:textId="77777777" w:rsidR="00A8331C" w:rsidRPr="00A8331C" w:rsidRDefault="00A8331C" w:rsidP="00A8331C">
      <w:pPr>
        <w:pStyle w:val="Heading2noTOC"/>
        <w:spacing w:before="0" w:after="120"/>
        <w:rPr>
          <w:rFonts w:eastAsia="Calibri" w:cs="Arial"/>
          <w:b w:val="0"/>
          <w:bCs w:val="0"/>
          <w:color w:val="auto"/>
          <w:sz w:val="22"/>
          <w:szCs w:val="22"/>
        </w:rPr>
      </w:pPr>
      <w:r w:rsidRPr="00A8331C">
        <w:rPr>
          <w:rFonts w:eastAsia="Calibri" w:cs="Arial"/>
          <w:b w:val="0"/>
          <w:bCs w:val="0"/>
          <w:color w:val="auto"/>
          <w:sz w:val="22"/>
          <w:szCs w:val="22"/>
        </w:rPr>
        <w:t xml:space="preserve">Mansfield Shire Council currently comprises five councillors elected from four wards (one two-councillor ward and three single-councillor wards). At the last representation review in 2007 the VEC recommended that Mansfield Shire Council continue with the current electoral structure, which has been in place since the formation of the Shire in 2002. </w:t>
      </w:r>
    </w:p>
    <w:p w14:paraId="6956FFDF" w14:textId="77777777" w:rsidR="00276CB7" w:rsidRDefault="00A8331C" w:rsidP="00A8331C">
      <w:pPr>
        <w:pStyle w:val="Heading2noTOC"/>
        <w:rPr>
          <w:rFonts w:eastAsia="Calibri" w:cs="Arial"/>
          <w:b w:val="0"/>
          <w:bCs w:val="0"/>
          <w:color w:val="auto"/>
          <w:sz w:val="22"/>
          <w:szCs w:val="22"/>
        </w:rPr>
      </w:pPr>
      <w:r w:rsidRPr="00A8331C">
        <w:rPr>
          <w:rFonts w:eastAsia="Calibri" w:cs="Arial"/>
          <w:b w:val="0"/>
          <w:bCs w:val="0"/>
          <w:color w:val="auto"/>
          <w:sz w:val="22"/>
          <w:szCs w:val="22"/>
        </w:rPr>
        <w:t xml:space="preserve">Visit the VEC website at </w:t>
      </w:r>
      <w:hyperlink r:id="rId16" w:history="1">
        <w:r w:rsidRPr="00263B02">
          <w:rPr>
            <w:rStyle w:val="Hyperlink"/>
            <w:rFonts w:eastAsia="Calibri" w:cs="Arial"/>
            <w:b w:val="0"/>
            <w:bCs w:val="0"/>
            <w:sz w:val="22"/>
            <w:szCs w:val="22"/>
          </w:rPr>
          <w:t>vec.vic.gov.a</w:t>
        </w:r>
        <w:r w:rsidR="00263B02" w:rsidRPr="00263B02">
          <w:rPr>
            <w:rStyle w:val="Hyperlink"/>
            <w:rFonts w:eastAsia="Calibri" w:cs="Arial"/>
            <w:b w:val="0"/>
            <w:bCs w:val="0"/>
            <w:sz w:val="22"/>
            <w:szCs w:val="22"/>
          </w:rPr>
          <w:t>u</w:t>
        </w:r>
      </w:hyperlink>
      <w:r w:rsidR="00263B02">
        <w:rPr>
          <w:rFonts w:eastAsia="Calibri" w:cs="Arial"/>
          <w:b w:val="0"/>
          <w:bCs w:val="0"/>
          <w:color w:val="auto"/>
          <w:sz w:val="22"/>
          <w:szCs w:val="22"/>
        </w:rPr>
        <w:t xml:space="preserve"> </w:t>
      </w:r>
      <w:r w:rsidRPr="00A8331C">
        <w:rPr>
          <w:rFonts w:eastAsia="Calibri" w:cs="Arial"/>
          <w:b w:val="0"/>
          <w:bCs w:val="0"/>
          <w:color w:val="auto"/>
          <w:sz w:val="22"/>
          <w:szCs w:val="22"/>
        </w:rPr>
        <w:t xml:space="preserve">for more information on Mansfield Shire Council and to access </w:t>
      </w:r>
      <w:r w:rsidR="00CA382E">
        <w:rPr>
          <w:rFonts w:eastAsia="Calibri" w:cs="Arial"/>
          <w:b w:val="0"/>
          <w:bCs w:val="0"/>
          <w:color w:val="auto"/>
          <w:sz w:val="22"/>
          <w:szCs w:val="22"/>
        </w:rPr>
        <w:t xml:space="preserve">a </w:t>
      </w:r>
      <w:r w:rsidRPr="00A8331C">
        <w:rPr>
          <w:rFonts w:eastAsia="Calibri" w:cs="Arial"/>
          <w:b w:val="0"/>
          <w:bCs w:val="0"/>
          <w:color w:val="auto"/>
          <w:sz w:val="22"/>
          <w:szCs w:val="22"/>
        </w:rPr>
        <w:t>cop</w:t>
      </w:r>
      <w:r w:rsidR="00CA382E">
        <w:rPr>
          <w:rFonts w:eastAsia="Calibri" w:cs="Arial"/>
          <w:b w:val="0"/>
          <w:bCs w:val="0"/>
          <w:color w:val="auto"/>
          <w:sz w:val="22"/>
          <w:szCs w:val="22"/>
        </w:rPr>
        <w:t>y</w:t>
      </w:r>
      <w:r w:rsidRPr="00A8331C">
        <w:rPr>
          <w:rFonts w:eastAsia="Calibri" w:cs="Arial"/>
          <w:b w:val="0"/>
          <w:bCs w:val="0"/>
          <w:color w:val="auto"/>
          <w:sz w:val="22"/>
          <w:szCs w:val="22"/>
        </w:rPr>
        <w:t xml:space="preserve"> of the 2007 representation review final report. </w:t>
      </w:r>
    </w:p>
    <w:p w14:paraId="49A2ED65" w14:textId="77777777" w:rsidR="00F66E14" w:rsidRPr="00EF4ACB" w:rsidRDefault="00F66E14" w:rsidP="00A8331C">
      <w:pPr>
        <w:pStyle w:val="Heading2noTOC"/>
      </w:pPr>
      <w:r w:rsidRPr="00EF4ACB">
        <w:t>Preliminary submissions</w:t>
      </w:r>
    </w:p>
    <w:p w14:paraId="0A7A1E4D" w14:textId="77777777" w:rsidR="00F66E14" w:rsidRPr="00095DBC" w:rsidRDefault="00F66E14" w:rsidP="00654E00">
      <w:pPr>
        <w:pStyle w:val="BodyText"/>
      </w:pPr>
      <w:r w:rsidRPr="00095DBC">
        <w:t xml:space="preserve">Preliminary submissions opened at the commencement of the current review on </w:t>
      </w:r>
      <w:r w:rsidRPr="00095DBC">
        <w:rPr>
          <w:noProof/>
        </w:rPr>
        <w:t>Wednesday 30 October 2019</w:t>
      </w:r>
      <w:r w:rsidRPr="00095DBC">
        <w:t xml:space="preserve">. The VEC received </w:t>
      </w:r>
      <w:r w:rsidR="00BB157D" w:rsidRPr="00095DBC">
        <w:t xml:space="preserve">10 </w:t>
      </w:r>
      <w:r w:rsidRPr="00095DBC">
        <w:t xml:space="preserve">submissions for the representation </w:t>
      </w:r>
      <w:r w:rsidRPr="00095DBC">
        <w:lastRenderedPageBreak/>
        <w:t xml:space="preserve">review of </w:t>
      </w:r>
      <w:r w:rsidRPr="00095DBC">
        <w:rPr>
          <w:noProof/>
        </w:rPr>
        <w:t>Mansfield Shire Council</w:t>
      </w:r>
      <w:r w:rsidRPr="00095DBC">
        <w:t xml:space="preserve"> by the </w:t>
      </w:r>
      <w:r w:rsidRPr="00095DBC">
        <w:rPr>
          <w:color w:val="000000" w:themeColor="text1"/>
        </w:rPr>
        <w:t xml:space="preserve">deadline of 5.00 </w:t>
      </w:r>
      <w:r w:rsidRPr="00095DBC">
        <w:t xml:space="preserve">pm on </w:t>
      </w:r>
      <w:r w:rsidRPr="00095DBC">
        <w:rPr>
          <w:noProof/>
        </w:rPr>
        <w:t>Wednesday 27 November 2019</w:t>
      </w:r>
      <w:r w:rsidRPr="00095DBC">
        <w:t xml:space="preserve">. </w:t>
      </w:r>
    </w:p>
    <w:p w14:paraId="09E924F3" w14:textId="77777777" w:rsidR="00F66E14" w:rsidRPr="00EF4ACB" w:rsidRDefault="00F66E14" w:rsidP="006845EE">
      <w:pPr>
        <w:pStyle w:val="Heading2noTOC"/>
      </w:pPr>
      <w:r w:rsidRPr="00EF4ACB">
        <w:t>Preliminary report</w:t>
      </w:r>
    </w:p>
    <w:p w14:paraId="503B41DD" w14:textId="77777777" w:rsidR="00F66E14" w:rsidRPr="00405B09" w:rsidRDefault="00F66E14" w:rsidP="00067BB7">
      <w:pPr>
        <w:pStyle w:val="BodyText"/>
      </w:pPr>
      <w:r w:rsidRPr="00405B09">
        <w:t xml:space="preserve">A preliminary report was released on </w:t>
      </w:r>
      <w:r w:rsidRPr="00405B09">
        <w:rPr>
          <w:noProof/>
        </w:rPr>
        <w:t>Wednesday 29 January 2020</w:t>
      </w:r>
      <w:r w:rsidRPr="00405B09">
        <w:t xml:space="preserve"> with the following options for consideration:</w:t>
      </w:r>
    </w:p>
    <w:p w14:paraId="0C5A8EFC" w14:textId="77777777" w:rsidR="00405B09" w:rsidRPr="00405B09" w:rsidRDefault="00405B09" w:rsidP="00405B09">
      <w:pPr>
        <w:pStyle w:val="BodyText"/>
        <w:numPr>
          <w:ilvl w:val="0"/>
          <w:numId w:val="3"/>
        </w:numPr>
        <w:rPr>
          <w:b/>
        </w:rPr>
      </w:pPr>
      <w:r w:rsidRPr="00405B09">
        <w:t>Option A (preferred option)</w:t>
      </w:r>
      <w:r w:rsidRPr="00405B09">
        <w:br/>
      </w:r>
      <w:r w:rsidRPr="00405B09">
        <w:rPr>
          <w:b/>
          <w:noProof/>
        </w:rPr>
        <w:t>Mansfield Shire Council</w:t>
      </w:r>
      <w:r w:rsidRPr="00405B09">
        <w:rPr>
          <w:b/>
        </w:rPr>
        <w:t xml:space="preserve"> consist of </w:t>
      </w:r>
      <w:r w:rsidRPr="00405B09">
        <w:rPr>
          <w:b/>
          <w:noProof/>
        </w:rPr>
        <w:t>five councillors elected from four wards</w:t>
      </w:r>
      <w:r w:rsidRPr="00405B09">
        <w:rPr>
          <w:b/>
        </w:rPr>
        <w:t xml:space="preserve">, with adjustments to the current ward boundaries </w:t>
      </w:r>
      <w:r w:rsidRPr="00405B09">
        <w:rPr>
          <w:b/>
          <w:noProof/>
        </w:rPr>
        <w:t>(one two-councillor ward and three single-councillor wards)</w:t>
      </w:r>
      <w:r w:rsidRPr="00405B09">
        <w:rPr>
          <w:b/>
        </w:rPr>
        <w:t>.</w:t>
      </w:r>
    </w:p>
    <w:p w14:paraId="092C08E8" w14:textId="77777777" w:rsidR="00405B09" w:rsidRPr="00405B09" w:rsidRDefault="00405B09" w:rsidP="00405B09">
      <w:pPr>
        <w:pStyle w:val="BodyText"/>
        <w:numPr>
          <w:ilvl w:val="0"/>
          <w:numId w:val="3"/>
        </w:numPr>
      </w:pPr>
      <w:r w:rsidRPr="00405B09">
        <w:t>Option B (alternative option)</w:t>
      </w:r>
      <w:r w:rsidRPr="00405B09">
        <w:br/>
      </w:r>
      <w:r w:rsidRPr="00405B09">
        <w:rPr>
          <w:b/>
          <w:noProof/>
        </w:rPr>
        <w:t>Mansfield Shire Council</w:t>
      </w:r>
      <w:r w:rsidRPr="00405B09">
        <w:rPr>
          <w:b/>
        </w:rPr>
        <w:t xml:space="preserve"> consist of five councillors elected from an </w:t>
      </w:r>
      <w:proofErr w:type="spellStart"/>
      <w:r w:rsidRPr="00405B09">
        <w:rPr>
          <w:b/>
        </w:rPr>
        <w:t>unsubdivided</w:t>
      </w:r>
      <w:proofErr w:type="spellEnd"/>
      <w:r w:rsidRPr="00405B09">
        <w:rPr>
          <w:b/>
        </w:rPr>
        <w:t xml:space="preserve"> electoral structure.</w:t>
      </w:r>
    </w:p>
    <w:p w14:paraId="795E57F6" w14:textId="77777777" w:rsidR="00405B09" w:rsidRPr="00504644" w:rsidRDefault="00405B09" w:rsidP="00F115B0">
      <w:pPr>
        <w:pStyle w:val="BodyText"/>
        <w:numPr>
          <w:ilvl w:val="0"/>
          <w:numId w:val="3"/>
        </w:numPr>
      </w:pPr>
      <w:r w:rsidRPr="00405B09">
        <w:t>Option C (alternative option)</w:t>
      </w:r>
      <w:r w:rsidRPr="00405B09">
        <w:br/>
      </w:r>
      <w:r w:rsidRPr="00405B09">
        <w:rPr>
          <w:b/>
          <w:noProof/>
        </w:rPr>
        <w:t>Mansfield Shire Council</w:t>
      </w:r>
      <w:r w:rsidRPr="00405B09">
        <w:rPr>
          <w:b/>
        </w:rPr>
        <w:t xml:space="preserve"> consist of seven councillors elected from an </w:t>
      </w:r>
      <w:proofErr w:type="spellStart"/>
      <w:r w:rsidRPr="00405B09">
        <w:rPr>
          <w:b/>
        </w:rPr>
        <w:t>unsubdivided</w:t>
      </w:r>
      <w:proofErr w:type="spellEnd"/>
      <w:r w:rsidRPr="00405B09">
        <w:rPr>
          <w:b/>
        </w:rPr>
        <w:t xml:space="preserve"> electoral structure.</w:t>
      </w:r>
    </w:p>
    <w:p w14:paraId="33617499" w14:textId="77777777" w:rsidR="00F66E14" w:rsidRPr="00EF4ACB" w:rsidRDefault="00F66E14" w:rsidP="006845EE">
      <w:pPr>
        <w:pStyle w:val="Heading2noTOC"/>
      </w:pPr>
      <w:r w:rsidRPr="00EF4ACB">
        <w:t>Response submissions</w:t>
      </w:r>
    </w:p>
    <w:p w14:paraId="3CC2F1B7" w14:textId="77777777" w:rsidR="00F66E14" w:rsidRPr="00EF4ACB" w:rsidRDefault="00F66E14" w:rsidP="00C85482">
      <w:pPr>
        <w:pStyle w:val="BodyText"/>
      </w:pPr>
      <w:r w:rsidRPr="00427BAB">
        <w:t xml:space="preserve">The VEC received </w:t>
      </w:r>
      <w:r w:rsidR="00427BAB" w:rsidRPr="00427BAB">
        <w:t>eight</w:t>
      </w:r>
      <w:r w:rsidRPr="00427BAB">
        <w:t xml:space="preserve"> submissions responding to the preliminary report by the </w:t>
      </w:r>
      <w:r w:rsidRPr="00427BAB">
        <w:rPr>
          <w:color w:val="000000" w:themeColor="text1"/>
        </w:rPr>
        <w:t xml:space="preserve">deadline of 5.00 </w:t>
      </w:r>
      <w:r w:rsidRPr="00427BAB">
        <w:t xml:space="preserve">pm on </w:t>
      </w:r>
      <w:r w:rsidRPr="00427BAB">
        <w:rPr>
          <w:noProof/>
        </w:rPr>
        <w:t>Wednesday 26 February 2020</w:t>
      </w:r>
      <w:r w:rsidRPr="00427BAB">
        <w:t>.</w:t>
      </w:r>
      <w:r w:rsidRPr="00EF4ACB">
        <w:t xml:space="preserve"> </w:t>
      </w:r>
    </w:p>
    <w:p w14:paraId="1DBFD50C" w14:textId="77777777" w:rsidR="00F66E14" w:rsidRPr="00EF4ACB" w:rsidRDefault="00F66E14" w:rsidP="006845EE">
      <w:pPr>
        <w:pStyle w:val="Heading2noTOC"/>
      </w:pPr>
      <w:r w:rsidRPr="00EF4ACB">
        <w:t>Public hearing</w:t>
      </w:r>
    </w:p>
    <w:p w14:paraId="635CDF7C" w14:textId="77777777" w:rsidR="00F66E14" w:rsidRPr="00EF4ACB" w:rsidRDefault="00F66E14" w:rsidP="00C85482">
      <w:pPr>
        <w:pStyle w:val="BodyText"/>
      </w:pPr>
      <w:r w:rsidRPr="000E4966">
        <w:t xml:space="preserve">The VEC conducted a public hearing for those wishing to speak about their response submission at </w:t>
      </w:r>
      <w:r w:rsidRPr="000E4966">
        <w:rPr>
          <w:noProof/>
        </w:rPr>
        <w:t>5.30 pm</w:t>
      </w:r>
      <w:r w:rsidRPr="000E4966">
        <w:t xml:space="preserve"> on </w:t>
      </w:r>
      <w:r w:rsidRPr="000E4966">
        <w:rPr>
          <w:noProof/>
        </w:rPr>
        <w:t>Monday 2 March 2020</w:t>
      </w:r>
      <w:r w:rsidRPr="000E4966">
        <w:t xml:space="preserve">. </w:t>
      </w:r>
      <w:r w:rsidR="0052467D" w:rsidRPr="000E4966">
        <w:t xml:space="preserve">One </w:t>
      </w:r>
      <w:r w:rsidRPr="000E4966">
        <w:t>person</w:t>
      </w:r>
      <w:r w:rsidR="0052467D" w:rsidRPr="000E4966">
        <w:t xml:space="preserve"> </w:t>
      </w:r>
      <w:r w:rsidRPr="000E4966">
        <w:t>spoke at the hearing.</w:t>
      </w:r>
    </w:p>
    <w:p w14:paraId="7CF685BD" w14:textId="77777777" w:rsidR="00F66E14" w:rsidRPr="00EF4ACB" w:rsidRDefault="00F66E14" w:rsidP="006845EE">
      <w:pPr>
        <w:pStyle w:val="Heading2noTOC"/>
      </w:pPr>
      <w:r w:rsidRPr="00EF4ACB">
        <w:t>Recommendation</w:t>
      </w:r>
    </w:p>
    <w:p w14:paraId="1875A0DE" w14:textId="1996DDC6" w:rsidR="00F66E14" w:rsidRPr="00EF4ACB" w:rsidRDefault="00F66E14" w:rsidP="006845EE">
      <w:pPr>
        <w:pStyle w:val="BodyText"/>
      </w:pPr>
      <w:r w:rsidRPr="00EF4ACB">
        <w:rPr>
          <w:b/>
        </w:rPr>
        <w:t xml:space="preserve">The Victorian Electoral Commission recommends </w:t>
      </w:r>
      <w:r w:rsidRPr="000B59A2">
        <w:rPr>
          <w:b/>
        </w:rPr>
        <w:t xml:space="preserve">that </w:t>
      </w:r>
      <w:r w:rsidRPr="000B59A2">
        <w:rPr>
          <w:b/>
          <w:noProof/>
        </w:rPr>
        <w:t>Mansfield Shire Council</w:t>
      </w:r>
      <w:r w:rsidR="00FC3556">
        <w:rPr>
          <w:b/>
          <w:noProof/>
        </w:rPr>
        <w:t xml:space="preserve"> </w:t>
      </w:r>
      <w:r w:rsidR="00372ADE">
        <w:rPr>
          <w:b/>
          <w:noProof/>
        </w:rPr>
        <w:t>change</w:t>
      </w:r>
      <w:r w:rsidR="00FC3556">
        <w:rPr>
          <w:b/>
          <w:noProof/>
        </w:rPr>
        <w:t xml:space="preserve"> to consist of five council</w:t>
      </w:r>
      <w:r w:rsidR="00511D6A">
        <w:rPr>
          <w:b/>
          <w:noProof/>
        </w:rPr>
        <w:t xml:space="preserve">lors </w:t>
      </w:r>
      <w:r w:rsidR="00372ADE">
        <w:rPr>
          <w:b/>
          <w:noProof/>
        </w:rPr>
        <w:t xml:space="preserve">elected from </w:t>
      </w:r>
      <w:r w:rsidR="00FC3556">
        <w:rPr>
          <w:b/>
          <w:noProof/>
        </w:rPr>
        <w:t>an unsubdivided electoral structure</w:t>
      </w:r>
      <w:r w:rsidRPr="00EF4ACB">
        <w:rPr>
          <w:b/>
        </w:rPr>
        <w:t>.</w:t>
      </w:r>
    </w:p>
    <w:p w14:paraId="73A92C34" w14:textId="1E93ADD4" w:rsidR="00F66E14" w:rsidRPr="00EF4ACB" w:rsidRDefault="00F66E14" w:rsidP="00E85658">
      <w:pPr>
        <w:pStyle w:val="BodyText"/>
      </w:pPr>
      <w:r w:rsidRPr="00EF4ACB">
        <w:t xml:space="preserve">This electoral structure was designated as </w:t>
      </w:r>
      <w:r w:rsidRPr="00372ADE">
        <w:t>Option B</w:t>
      </w:r>
      <w:r w:rsidRPr="00EF4ACB">
        <w:t xml:space="preserve"> in the preliminary report. Please see Appendix 2 for a detailed map of this recommended structure.</w:t>
      </w:r>
    </w:p>
    <w:p w14:paraId="3C11B2A3" w14:textId="77777777" w:rsidR="00F66E14" w:rsidRPr="00EF4ACB" w:rsidRDefault="00F66E14" w:rsidP="00D23FE7">
      <w:pPr>
        <w:pStyle w:val="Heading1numbered"/>
      </w:pPr>
      <w:r w:rsidRPr="00EF4ACB">
        <w:br w:type="page"/>
      </w:r>
      <w:bookmarkStart w:id="3" w:name="_Toc32583984"/>
      <w:r w:rsidRPr="00EF4ACB">
        <w:lastRenderedPageBreak/>
        <w:t>Background</w:t>
      </w:r>
      <w:bookmarkEnd w:id="3"/>
    </w:p>
    <w:p w14:paraId="0DFEF8DA" w14:textId="77777777" w:rsidR="00F66E14" w:rsidRPr="00EF4ACB" w:rsidRDefault="00F66E14" w:rsidP="00675FC6">
      <w:pPr>
        <w:pStyle w:val="Heading2numbered"/>
      </w:pPr>
      <w:bookmarkStart w:id="4" w:name="_Toc32583985"/>
      <w:r w:rsidRPr="00EF4ACB">
        <w:t>Legislative basis</w:t>
      </w:r>
      <w:bookmarkEnd w:id="4"/>
    </w:p>
    <w:p w14:paraId="099D6A50" w14:textId="77777777" w:rsidR="00F66E14" w:rsidRPr="00EF4ACB" w:rsidRDefault="00F66E14" w:rsidP="00675FC6">
      <w:pPr>
        <w:pStyle w:val="BodyText"/>
      </w:pPr>
      <w:r w:rsidRPr="00EF4ACB">
        <w:t xml:space="preserve">The Act requires the VEC to conduct a representation review of each local council in Victoria before every third general council election, or earlier if gazetted by the Minister for Local Government. </w:t>
      </w:r>
    </w:p>
    <w:p w14:paraId="77042B7E" w14:textId="77777777" w:rsidR="00F66E14" w:rsidRPr="00EF4ACB" w:rsidRDefault="00F66E14" w:rsidP="00675FC6">
      <w:pPr>
        <w:pStyle w:val="BodyText"/>
      </w:pPr>
      <w:r w:rsidRPr="00EF4ACB">
        <w:t>The Act states that the purpose of a representation review is to recommend the number of councillors and the electoral structure that provides ‘fair and equitable representation for the persons who are entitled to vote at a general election of the Council.’</w:t>
      </w:r>
      <w:r w:rsidRPr="00EF4ACB">
        <w:rPr>
          <w:rStyle w:val="FootnoteReference"/>
        </w:rPr>
        <w:footnoteReference w:id="2"/>
      </w:r>
    </w:p>
    <w:p w14:paraId="760575F5" w14:textId="77777777" w:rsidR="00F66E14" w:rsidRPr="00EF4ACB" w:rsidRDefault="00F66E14" w:rsidP="00675FC6">
      <w:pPr>
        <w:pStyle w:val="BodyText"/>
      </w:pPr>
      <w:r w:rsidRPr="00EF4ACB">
        <w:t>The Act requires the VEC to consider:</w:t>
      </w:r>
    </w:p>
    <w:p w14:paraId="4A8B3B81" w14:textId="77777777" w:rsidR="00F66E14" w:rsidRPr="00EF4ACB" w:rsidRDefault="00F66E14" w:rsidP="0050750B">
      <w:pPr>
        <w:pStyle w:val="BodyText"/>
        <w:numPr>
          <w:ilvl w:val="0"/>
          <w:numId w:val="5"/>
        </w:numPr>
      </w:pPr>
      <w:r w:rsidRPr="00EF4ACB">
        <w:t xml:space="preserve">the number of councillors in a local council </w:t>
      </w:r>
    </w:p>
    <w:p w14:paraId="5A76954F" w14:textId="77777777" w:rsidR="00F66E14" w:rsidRPr="00EF4ACB" w:rsidRDefault="00F66E14" w:rsidP="0050750B">
      <w:pPr>
        <w:pStyle w:val="BodyText"/>
        <w:numPr>
          <w:ilvl w:val="0"/>
          <w:numId w:val="5"/>
        </w:numPr>
      </w:pPr>
      <w:r w:rsidRPr="00EF4ACB">
        <w:t xml:space="preserve">whether a local council should be </w:t>
      </w:r>
      <w:proofErr w:type="spellStart"/>
      <w:r w:rsidRPr="00EF4ACB">
        <w:t>unsubdivided</w:t>
      </w:r>
      <w:proofErr w:type="spellEnd"/>
      <w:r w:rsidRPr="00EF4ACB">
        <w:t xml:space="preserve"> or subdivided.</w:t>
      </w:r>
    </w:p>
    <w:p w14:paraId="124AE28D" w14:textId="77777777" w:rsidR="00F66E14" w:rsidRPr="00EF4ACB" w:rsidRDefault="00F66E14" w:rsidP="00675FC6">
      <w:pPr>
        <w:pStyle w:val="BodyText"/>
      </w:pPr>
      <w:r w:rsidRPr="00EF4ACB">
        <w:t>If a local council is subdivided, the VEC must ensure that the number of voters represented by each councillor is within plus-or-minus 10% of the average number of voters per councillor for that local council.</w:t>
      </w:r>
      <w:r w:rsidRPr="00EF4ACB">
        <w:rPr>
          <w:rStyle w:val="FootnoteReference"/>
        </w:rPr>
        <w:footnoteReference w:id="3"/>
      </w:r>
      <w:r w:rsidRPr="00EF4ACB">
        <w:t xml:space="preserve"> On this basis, the review must consider the:</w:t>
      </w:r>
    </w:p>
    <w:p w14:paraId="5DE1EF72" w14:textId="77777777" w:rsidR="00F66E14" w:rsidRPr="00EF4ACB" w:rsidRDefault="00F66E14" w:rsidP="0050750B">
      <w:pPr>
        <w:pStyle w:val="BodyText"/>
        <w:numPr>
          <w:ilvl w:val="0"/>
          <w:numId w:val="6"/>
        </w:numPr>
      </w:pPr>
      <w:r w:rsidRPr="00EF4ACB">
        <w:t>number of wards</w:t>
      </w:r>
    </w:p>
    <w:p w14:paraId="3FABD968" w14:textId="77777777" w:rsidR="00F66E14" w:rsidRPr="001F13A4" w:rsidRDefault="00F66E14" w:rsidP="0050750B">
      <w:pPr>
        <w:pStyle w:val="BodyText"/>
        <w:numPr>
          <w:ilvl w:val="0"/>
          <w:numId w:val="6"/>
        </w:numPr>
        <w:rPr>
          <w:color w:val="000000" w:themeColor="text1"/>
        </w:rPr>
      </w:pPr>
      <w:r w:rsidRPr="00EF4ACB">
        <w:t xml:space="preserve">ward </w:t>
      </w:r>
      <w:r w:rsidRPr="001F13A4">
        <w:rPr>
          <w:color w:val="000000" w:themeColor="text1"/>
        </w:rPr>
        <w:t xml:space="preserve">boundaries </w:t>
      </w:r>
    </w:p>
    <w:p w14:paraId="3EC04153" w14:textId="77777777" w:rsidR="00F66E14" w:rsidRPr="00EF4ACB" w:rsidRDefault="00F66E14" w:rsidP="0050750B">
      <w:pPr>
        <w:pStyle w:val="BodyText"/>
        <w:numPr>
          <w:ilvl w:val="0"/>
          <w:numId w:val="6"/>
        </w:numPr>
      </w:pPr>
      <w:r w:rsidRPr="001F13A4">
        <w:rPr>
          <w:color w:val="000000" w:themeColor="text1"/>
        </w:rPr>
        <w:t xml:space="preserve">number of councillors to be elected for </w:t>
      </w:r>
      <w:r w:rsidRPr="00EF4ACB">
        <w:t>each ward.</w:t>
      </w:r>
    </w:p>
    <w:p w14:paraId="7096DF1F" w14:textId="77777777" w:rsidR="00F66E14" w:rsidRPr="00EF4ACB" w:rsidRDefault="00F66E14" w:rsidP="00675FC6">
      <w:pPr>
        <w:pStyle w:val="Heading2numbered"/>
      </w:pPr>
      <w:bookmarkStart w:id="5" w:name="_Toc32583986"/>
      <w:r w:rsidRPr="00EF4ACB">
        <w:t>Public engagement</w:t>
      </w:r>
      <w:bookmarkEnd w:id="5"/>
    </w:p>
    <w:p w14:paraId="66FA9D86" w14:textId="77777777" w:rsidR="00F66E14" w:rsidRPr="00EF4ACB" w:rsidRDefault="00F66E14" w:rsidP="00675FC6">
      <w:pPr>
        <w:pStyle w:val="Heading3"/>
      </w:pPr>
      <w:r w:rsidRPr="00EF4ACB">
        <w:t xml:space="preserve">Public information program </w:t>
      </w:r>
    </w:p>
    <w:p w14:paraId="377A01DC" w14:textId="77777777" w:rsidR="00F66E14" w:rsidRPr="00EF4ACB" w:rsidRDefault="00F66E14" w:rsidP="00675FC6">
      <w:pPr>
        <w:pStyle w:val="BodyText"/>
      </w:pPr>
      <w:r w:rsidRPr="00EF4ACB">
        <w:t>The VEC conducted a public information program to inform the community of the representation review, including:</w:t>
      </w:r>
    </w:p>
    <w:p w14:paraId="5EA62924" w14:textId="77777777" w:rsidR="00F66E14" w:rsidRPr="00EF4ACB" w:rsidRDefault="00F66E14" w:rsidP="0050750B">
      <w:pPr>
        <w:pStyle w:val="BodyText"/>
        <w:numPr>
          <w:ilvl w:val="0"/>
          <w:numId w:val="13"/>
        </w:numPr>
      </w:pPr>
      <w:r w:rsidRPr="00EF4ACB">
        <w:t>public notices printed in local and State-wide papers</w:t>
      </w:r>
    </w:p>
    <w:p w14:paraId="27852A37" w14:textId="77777777" w:rsidR="00F66E14" w:rsidRPr="00EF4ACB" w:rsidRDefault="00CF644A" w:rsidP="0050750B">
      <w:pPr>
        <w:pStyle w:val="BodyText"/>
        <w:numPr>
          <w:ilvl w:val="0"/>
          <w:numId w:val="13"/>
        </w:numPr>
      </w:pPr>
      <w:r>
        <w:rPr>
          <w:noProof/>
        </w:rPr>
        <w:t xml:space="preserve">a </w:t>
      </w:r>
      <w:r w:rsidR="00F66E14" w:rsidRPr="00EF4ACB">
        <w:t>public information session to outline the review process and respond to questions from the community</w:t>
      </w:r>
    </w:p>
    <w:p w14:paraId="3AB1352E" w14:textId="77777777" w:rsidR="00F66E14" w:rsidRPr="00EF4ACB" w:rsidRDefault="00F66E14" w:rsidP="0050750B">
      <w:pPr>
        <w:pStyle w:val="BodyText"/>
        <w:numPr>
          <w:ilvl w:val="0"/>
          <w:numId w:val="13"/>
        </w:numPr>
      </w:pPr>
      <w:r w:rsidRPr="00EF4ACB">
        <w:t>media release</w:t>
      </w:r>
      <w:r>
        <w:t>s</w:t>
      </w:r>
      <w:r w:rsidRPr="00EF4ACB">
        <w:t xml:space="preserve"> announcing the commencement of the review and the release of the preliminary report </w:t>
      </w:r>
    </w:p>
    <w:p w14:paraId="3B51FE34" w14:textId="77777777" w:rsidR="00F66E14" w:rsidRPr="00EF4ACB" w:rsidRDefault="00F66E14" w:rsidP="0050750B">
      <w:pPr>
        <w:pStyle w:val="BodyText"/>
        <w:numPr>
          <w:ilvl w:val="0"/>
          <w:numId w:val="13"/>
        </w:numPr>
      </w:pPr>
      <w:r w:rsidRPr="00EF4ACB">
        <w:lastRenderedPageBreak/>
        <w:t xml:space="preserve">a </w:t>
      </w:r>
      <w:r w:rsidRPr="00EF4ACB">
        <w:rPr>
          <w:iCs/>
        </w:rPr>
        <w:t>submission guide to</w:t>
      </w:r>
      <w:r w:rsidRPr="00EF4ACB">
        <w:t xml:space="preserve"> explain the review process and provide background information on the scope of the review</w:t>
      </w:r>
    </w:p>
    <w:p w14:paraId="5391D839" w14:textId="77777777" w:rsidR="00F66E14" w:rsidRPr="00EF4ACB" w:rsidRDefault="00F66E14" w:rsidP="0050750B">
      <w:pPr>
        <w:pStyle w:val="BodyText"/>
        <w:numPr>
          <w:ilvl w:val="0"/>
          <w:numId w:val="13"/>
        </w:numPr>
      </w:pPr>
      <w:r w:rsidRPr="00EF4ACB">
        <w:t>an information email campaign targeted at known community groups and communities of interest in the local council area</w:t>
      </w:r>
    </w:p>
    <w:p w14:paraId="1D20D98D" w14:textId="77777777" w:rsidR="00F66E14" w:rsidRPr="00EF4ACB" w:rsidRDefault="00F66E14" w:rsidP="0050750B">
      <w:pPr>
        <w:pStyle w:val="BodyText"/>
        <w:numPr>
          <w:ilvl w:val="0"/>
          <w:numId w:val="13"/>
        </w:numPr>
      </w:pPr>
      <w:r w:rsidRPr="00EF4ACB">
        <w:t xml:space="preserve">sponsored social media advertising geo-targeted to users within the local council </w:t>
      </w:r>
      <w:r w:rsidRPr="00EF4ACB">
        <w:br/>
        <w:t xml:space="preserve">area </w:t>
      </w:r>
    </w:p>
    <w:p w14:paraId="1046BDB5" w14:textId="77777777" w:rsidR="00F66E14" w:rsidRPr="00EF4ACB" w:rsidRDefault="00F66E14" w:rsidP="0050750B">
      <w:pPr>
        <w:pStyle w:val="BodyText"/>
        <w:numPr>
          <w:ilvl w:val="0"/>
          <w:numId w:val="13"/>
        </w:numPr>
      </w:pPr>
      <w:r w:rsidRPr="00EF4ACB">
        <w:t>ongoing information updates and publication of submissions on the VEC website.</w:t>
      </w:r>
    </w:p>
    <w:p w14:paraId="04E8872C" w14:textId="77777777" w:rsidR="00F66E14" w:rsidRPr="00EF4ACB" w:rsidRDefault="00F66E14" w:rsidP="008851C8">
      <w:pPr>
        <w:pStyle w:val="BodyText"/>
      </w:pPr>
      <w:r w:rsidRPr="00EF4ACB">
        <w:t xml:space="preserve">More information on </w:t>
      </w:r>
      <w:r w:rsidRPr="001F13A4">
        <w:t xml:space="preserve">the VEC’s public information program for the representation review of </w:t>
      </w:r>
      <w:r w:rsidRPr="001F13A4">
        <w:rPr>
          <w:noProof/>
        </w:rPr>
        <w:t>Mansfield Shire Council</w:t>
      </w:r>
      <w:r w:rsidRPr="001F13A4">
        <w:t xml:space="preserve"> can</w:t>
      </w:r>
      <w:r w:rsidRPr="00EF4ACB">
        <w:t xml:space="preserve"> be found at Appendix 3.</w:t>
      </w:r>
    </w:p>
    <w:p w14:paraId="67966239" w14:textId="77777777" w:rsidR="00F66E14" w:rsidRPr="00EF4ACB" w:rsidRDefault="00F66E14" w:rsidP="00675FC6">
      <w:pPr>
        <w:pStyle w:val="Heading3"/>
      </w:pPr>
      <w:r w:rsidRPr="00EF4ACB">
        <w:t>Public consultation</w:t>
      </w:r>
    </w:p>
    <w:p w14:paraId="0F430A3D" w14:textId="77777777" w:rsidR="00F66E14" w:rsidRPr="001F13A4" w:rsidRDefault="00F66E14" w:rsidP="00675FC6">
      <w:pPr>
        <w:pStyle w:val="BodyText"/>
        <w:rPr>
          <w:color w:val="000000" w:themeColor="text1"/>
        </w:rPr>
      </w:pPr>
      <w:r w:rsidRPr="00EF4ACB">
        <w:t xml:space="preserve">Public </w:t>
      </w:r>
      <w:r w:rsidRPr="001F13A4">
        <w:rPr>
          <w:color w:val="000000" w:themeColor="text1"/>
        </w:rPr>
        <w:t>input was encouraged by the VEC via:</w:t>
      </w:r>
    </w:p>
    <w:p w14:paraId="19EC7E5C" w14:textId="77777777" w:rsidR="00F66E14" w:rsidRPr="00EF4ACB" w:rsidRDefault="00F66E14" w:rsidP="0050750B">
      <w:pPr>
        <w:pStyle w:val="BodyText"/>
        <w:numPr>
          <w:ilvl w:val="0"/>
          <w:numId w:val="9"/>
        </w:numPr>
      </w:pPr>
      <w:r w:rsidRPr="001F13A4">
        <w:rPr>
          <w:color w:val="000000" w:themeColor="text1"/>
        </w:rPr>
        <w:t xml:space="preserve">preliminary submissions </w:t>
      </w:r>
      <w:r w:rsidRPr="00EF4ACB">
        <w:t>at the start of the review</w:t>
      </w:r>
    </w:p>
    <w:p w14:paraId="20B84BBE" w14:textId="77777777" w:rsidR="00F66E14" w:rsidRPr="000458E5" w:rsidRDefault="00F66E14" w:rsidP="0050750B">
      <w:pPr>
        <w:pStyle w:val="BodyText"/>
        <w:numPr>
          <w:ilvl w:val="0"/>
          <w:numId w:val="9"/>
        </w:numPr>
      </w:pPr>
      <w:r w:rsidRPr="00EF4ACB">
        <w:t>response submission</w:t>
      </w:r>
      <w:r w:rsidRPr="000458E5">
        <w:t xml:space="preserve">s to the preliminary report </w:t>
      </w:r>
    </w:p>
    <w:p w14:paraId="593E73F7" w14:textId="77777777" w:rsidR="00F66E14" w:rsidRPr="000458E5" w:rsidRDefault="00F66E14" w:rsidP="0050750B">
      <w:pPr>
        <w:pStyle w:val="BodyText"/>
        <w:numPr>
          <w:ilvl w:val="0"/>
          <w:numId w:val="9"/>
        </w:numPr>
      </w:pPr>
      <w:r w:rsidRPr="000458E5">
        <w:t xml:space="preserve">a public hearing that provided an opportunity for people who had made a response submission to expand on their submission. </w:t>
      </w:r>
    </w:p>
    <w:p w14:paraId="4BF3B08F" w14:textId="77777777" w:rsidR="00F66E14" w:rsidRPr="00EF4ACB" w:rsidRDefault="00F66E14" w:rsidP="00675FC6">
      <w:pPr>
        <w:pStyle w:val="BodyText"/>
      </w:pPr>
      <w:r w:rsidRPr="000458E5">
        <w:t>Public submissions are an important</w:t>
      </w:r>
      <w:r w:rsidRPr="00EF4ACB">
        <w:t xml:space="preserve"> part of the review process but are not the only consideration. The VEC ensures its recommendations comply with the Act and are formed through careful consideration of public submissions, independent research, and analysis of all relevant factors. </w:t>
      </w:r>
    </w:p>
    <w:p w14:paraId="5EC93204" w14:textId="77777777" w:rsidR="00F66E14" w:rsidRPr="00EF4ACB" w:rsidRDefault="00F66E14" w:rsidP="00675FC6">
      <w:pPr>
        <w:pStyle w:val="Heading2numbered"/>
      </w:pPr>
      <w:bookmarkStart w:id="6" w:name="_Toc32583987"/>
      <w:r w:rsidRPr="00EF4ACB">
        <w:t>The VEC’s principles</w:t>
      </w:r>
      <w:bookmarkEnd w:id="6"/>
    </w:p>
    <w:p w14:paraId="6790BC03" w14:textId="77777777" w:rsidR="00F66E14" w:rsidRPr="00EF4ACB" w:rsidRDefault="00F66E14" w:rsidP="00675FC6">
      <w:pPr>
        <w:pStyle w:val="BodyText"/>
      </w:pPr>
      <w:r w:rsidRPr="00EF4ACB">
        <w:t xml:space="preserve">Three main principles underlie all the VEC’s work on representation reviews: </w:t>
      </w:r>
    </w:p>
    <w:p w14:paraId="3689A2E5" w14:textId="77777777" w:rsidR="00F66E14" w:rsidRPr="00EF4ACB" w:rsidRDefault="00F66E14" w:rsidP="0050750B">
      <w:pPr>
        <w:pStyle w:val="BodyText"/>
        <w:numPr>
          <w:ilvl w:val="0"/>
          <w:numId w:val="7"/>
        </w:numPr>
        <w:rPr>
          <w:b/>
        </w:rPr>
      </w:pPr>
      <w:bookmarkStart w:id="7" w:name="_Hlk34827998"/>
      <w:r w:rsidRPr="00EF4ACB">
        <w:rPr>
          <w:b/>
        </w:rPr>
        <w:t>Taking a consistent, State-wide approach to the total number of councillors.</w:t>
      </w:r>
    </w:p>
    <w:p w14:paraId="593B02EE" w14:textId="77777777" w:rsidR="00F66E14" w:rsidRPr="00EF4ACB" w:rsidRDefault="00F66E14" w:rsidP="00675FC6">
      <w:pPr>
        <w:pStyle w:val="BodyText"/>
        <w:ind w:left="720"/>
      </w:pPr>
      <w:r w:rsidRPr="00EF4ACB">
        <w:t xml:space="preserve">The VEC is guided by its comparisons of local councils of a similar size and category to the council under review. The VEC also considers any special circumstances that may warrant the local council having more or fewer councillors than similar local councils.  </w:t>
      </w:r>
    </w:p>
    <w:p w14:paraId="47EC5933" w14:textId="77777777" w:rsidR="00F66E14" w:rsidRPr="00EF4ACB" w:rsidRDefault="00F66E14" w:rsidP="0050750B">
      <w:pPr>
        <w:pStyle w:val="BodyText"/>
        <w:numPr>
          <w:ilvl w:val="0"/>
          <w:numId w:val="7"/>
        </w:numPr>
        <w:rPr>
          <w:b/>
        </w:rPr>
      </w:pPr>
      <w:r w:rsidRPr="00EF4ACB">
        <w:rPr>
          <w:b/>
        </w:rPr>
        <w:t>If subdivided, ensuring the number of voters represented by each councillor is within plus-or-minus 10% of the average number of voters per councillor for that local council.</w:t>
      </w:r>
    </w:p>
    <w:p w14:paraId="5126D337" w14:textId="77777777" w:rsidR="00F66E14" w:rsidRPr="00EF4ACB" w:rsidRDefault="00F66E14" w:rsidP="00675FC6">
      <w:pPr>
        <w:pStyle w:val="BodyText"/>
        <w:ind w:left="720"/>
        <w:rPr>
          <w:b/>
        </w:rPr>
      </w:pPr>
      <w:r w:rsidRPr="00EF4ACB">
        <w:lastRenderedPageBreak/>
        <w:t>This is the principle of ‘one vote, one value’, which is enshrined in the Act</w:t>
      </w:r>
      <w:r>
        <w:t xml:space="preserve"> and is common across all three levels of government: local, state and federal</w:t>
      </w:r>
      <w:r w:rsidRPr="00EF4ACB">
        <w:t>. This means that every person’s vote counts equally.</w:t>
      </w:r>
    </w:p>
    <w:p w14:paraId="5981CF14" w14:textId="77777777" w:rsidR="00F66E14" w:rsidRPr="00EF4ACB" w:rsidRDefault="00F66E14" w:rsidP="0050750B">
      <w:pPr>
        <w:pStyle w:val="BodyText"/>
        <w:numPr>
          <w:ilvl w:val="0"/>
          <w:numId w:val="7"/>
        </w:numPr>
        <w:rPr>
          <w:b/>
        </w:rPr>
      </w:pPr>
      <w:r w:rsidRPr="00EF4ACB">
        <w:rPr>
          <w:b/>
        </w:rPr>
        <w:t>Ensuring communities of interest are as fairly represented as possible.</w:t>
      </w:r>
    </w:p>
    <w:p w14:paraId="63F213E5" w14:textId="77777777" w:rsidR="00F66E14" w:rsidRPr="001F13A4" w:rsidRDefault="00F66E14" w:rsidP="00675FC6">
      <w:pPr>
        <w:pStyle w:val="BodyText"/>
        <w:ind w:left="720"/>
        <w:rPr>
          <w:color w:val="000000" w:themeColor="text1"/>
        </w:rPr>
      </w:pPr>
      <w:r w:rsidRPr="00EF4ACB">
        <w:t xml:space="preserve">Each local council contains </w:t>
      </w:r>
      <w:proofErr w:type="gramStart"/>
      <w:r w:rsidRPr="00EF4ACB">
        <w:t>a number of</w:t>
      </w:r>
      <w:proofErr w:type="gramEnd"/>
      <w:r w:rsidRPr="00EF4ACB">
        <w:t xml:space="preserve"> communities of interest. Where practicable</w:t>
      </w:r>
      <w:r w:rsidRPr="001F13A4">
        <w:rPr>
          <w:color w:val="000000" w:themeColor="text1"/>
        </w:rPr>
        <w:t xml:space="preserve">, the electoral structure should be designed to ensure they are fairly represented, and that geographic communities of interest are not split by ward boundaries. This allows elected councillors to be more effective representatives of the people and interests in their </w:t>
      </w:r>
      <w:proofErr w:type="gramStart"/>
      <w:r w:rsidRPr="001F13A4">
        <w:rPr>
          <w:color w:val="000000" w:themeColor="text1"/>
        </w:rPr>
        <w:t>particular local</w:t>
      </w:r>
      <w:proofErr w:type="gramEnd"/>
      <w:r w:rsidRPr="001F13A4">
        <w:rPr>
          <w:color w:val="000000" w:themeColor="text1"/>
        </w:rPr>
        <w:t xml:space="preserve"> council or ward.</w:t>
      </w:r>
    </w:p>
    <w:p w14:paraId="58F22C08" w14:textId="77777777" w:rsidR="00F66E14" w:rsidRPr="00EF4ACB" w:rsidRDefault="00F66E14" w:rsidP="00675FC6">
      <w:pPr>
        <w:pStyle w:val="Heading2numbered"/>
      </w:pPr>
      <w:bookmarkStart w:id="8" w:name="_Toc32583988"/>
      <w:bookmarkEnd w:id="7"/>
      <w:r w:rsidRPr="00EF4ACB">
        <w:t>Developing recommendations</w:t>
      </w:r>
      <w:bookmarkEnd w:id="8"/>
    </w:p>
    <w:p w14:paraId="5D9001B3" w14:textId="77777777" w:rsidR="00F66E14" w:rsidRPr="00EF4ACB" w:rsidRDefault="00F66E14" w:rsidP="00675FC6">
      <w:pPr>
        <w:pStyle w:val="BodyText"/>
      </w:pPr>
      <w:r w:rsidRPr="00EF4ACB">
        <w:t xml:space="preserve">The VEC bases its </w:t>
      </w:r>
      <w:r w:rsidRPr="001F13A4">
        <w:rPr>
          <w:color w:val="000000" w:themeColor="text1"/>
        </w:rPr>
        <w:t>recommendations for the number of councillors and electoral structure on the following information</w:t>
      </w:r>
      <w:r w:rsidRPr="00EF4ACB">
        <w:t>:</w:t>
      </w:r>
    </w:p>
    <w:p w14:paraId="789E2536" w14:textId="77777777" w:rsidR="00F66E14" w:rsidRPr="00EF4ACB" w:rsidRDefault="00F66E14" w:rsidP="0050750B">
      <w:pPr>
        <w:pStyle w:val="BodyText"/>
        <w:numPr>
          <w:ilvl w:val="0"/>
          <w:numId w:val="8"/>
        </w:numPr>
      </w:pPr>
      <w:r w:rsidRPr="00EF4ACB">
        <w:t>internal research specifically relating to the local council under review, including data from the Australian Bureau of Statistics and .id</w:t>
      </w:r>
      <w:r w:rsidRPr="00EF4ACB">
        <w:rPr>
          <w:rStyle w:val="FootnoteReference"/>
        </w:rPr>
        <w:footnoteReference w:id="4"/>
      </w:r>
      <w:r w:rsidRPr="00EF4ACB">
        <w:t>; voter statistics from the Victorian electoral roll; and other State and local government data sets</w:t>
      </w:r>
    </w:p>
    <w:p w14:paraId="66068C1D" w14:textId="77777777" w:rsidR="00F66E14" w:rsidRPr="00EF4ACB" w:rsidRDefault="00F66E14" w:rsidP="0050750B">
      <w:pPr>
        <w:pStyle w:val="BodyText"/>
        <w:numPr>
          <w:ilvl w:val="0"/>
          <w:numId w:val="8"/>
        </w:numPr>
      </w:pPr>
      <w:r w:rsidRPr="00EF4ACB">
        <w:t xml:space="preserve">small area forecasts provided by .id for relevant local council areas </w:t>
      </w:r>
    </w:p>
    <w:p w14:paraId="243A2C59" w14:textId="77777777" w:rsidR="00F66E14" w:rsidRPr="00EF4ACB" w:rsidRDefault="00F66E14" w:rsidP="0050750B">
      <w:pPr>
        <w:pStyle w:val="BodyText"/>
        <w:numPr>
          <w:ilvl w:val="0"/>
          <w:numId w:val="8"/>
        </w:numPr>
      </w:pPr>
      <w:r w:rsidRPr="00EF4ACB">
        <w:t>the VEC’s experience conducting previous electoral representation reviews of local councils and similar reviews for State elections</w:t>
      </w:r>
    </w:p>
    <w:p w14:paraId="66C416D0" w14:textId="77777777" w:rsidR="00F66E14" w:rsidRPr="00EF4ACB" w:rsidRDefault="00F66E14" w:rsidP="0050750B">
      <w:pPr>
        <w:pStyle w:val="BodyText"/>
        <w:numPr>
          <w:ilvl w:val="0"/>
          <w:numId w:val="8"/>
        </w:numPr>
      </w:pPr>
      <w:r w:rsidRPr="00EF4ACB">
        <w:t>the VEC’s expertise in mapping, demography and local government</w:t>
      </w:r>
    </w:p>
    <w:p w14:paraId="0BAC2A85" w14:textId="3DA25F56" w:rsidR="00F66E14" w:rsidRPr="00EF4ACB" w:rsidRDefault="00F66E14" w:rsidP="0050750B">
      <w:pPr>
        <w:pStyle w:val="BodyText"/>
        <w:numPr>
          <w:ilvl w:val="0"/>
          <w:numId w:val="8"/>
        </w:numPr>
      </w:pPr>
      <w:r w:rsidRPr="00EF4ACB">
        <w:t xml:space="preserve">consideration of all input from the public in written submissions received during the review </w:t>
      </w:r>
      <w:r w:rsidRPr="00372ADE">
        <w:t>and via oral submissions at the public hearing</w:t>
      </w:r>
    </w:p>
    <w:p w14:paraId="66E7D494" w14:textId="77777777" w:rsidR="00F66E14" w:rsidRPr="00EF4ACB" w:rsidRDefault="00F66E14" w:rsidP="0050750B">
      <w:pPr>
        <w:pStyle w:val="BodyText"/>
        <w:numPr>
          <w:ilvl w:val="0"/>
          <w:numId w:val="8"/>
        </w:numPr>
      </w:pPr>
      <w:r w:rsidRPr="00EF4ACB">
        <w:t>advice from consultants with extensive experience in local government.</w:t>
      </w:r>
    </w:p>
    <w:p w14:paraId="66D32EAB" w14:textId="77777777" w:rsidR="00F66E14" w:rsidRPr="00EF4ACB" w:rsidRDefault="00F66E14" w:rsidP="00675FC6">
      <w:pPr>
        <w:pStyle w:val="Heading3"/>
      </w:pPr>
      <w:r w:rsidRPr="00EF4ACB">
        <w:t>Deciding on the number of councillors</w:t>
      </w:r>
    </w:p>
    <w:p w14:paraId="4EB24E75" w14:textId="77777777" w:rsidR="00F66E14" w:rsidRPr="00EF4ACB" w:rsidRDefault="00F66E14" w:rsidP="00675FC6">
      <w:pPr>
        <w:pStyle w:val="BodyText"/>
      </w:pPr>
      <w:r w:rsidRPr="00EF4ACB">
        <w:t>The Act allows for a local council to have between five and 12 councillors but does not specify how to decide the appropriate number.</w:t>
      </w:r>
      <w:r w:rsidRPr="00EF4ACB">
        <w:rPr>
          <w:rStyle w:val="FootnoteReference"/>
        </w:rPr>
        <w:footnoteReference w:id="5"/>
      </w:r>
      <w:r w:rsidRPr="00EF4ACB">
        <w:t xml:space="preserve"> In considering the number of councillors for a local council, the VEC is guided by the Victorian Parliament’s intention for fairness and equity in the local representation of voters under the Act.</w:t>
      </w:r>
    </w:p>
    <w:p w14:paraId="2978AD68" w14:textId="77777777" w:rsidR="00F66E14" w:rsidRPr="00EF4ACB" w:rsidRDefault="00F66E14" w:rsidP="00675FC6">
      <w:pPr>
        <w:pStyle w:val="BodyText"/>
      </w:pPr>
      <w:r w:rsidRPr="00EF4ACB">
        <w:lastRenderedPageBreak/>
        <w:t xml:space="preserve">The starting point in deciding the appropriate number of councillors for a local council is comparing the local council under review to other local councils of a similar size and type (Principle 1). Generally, local councils that have a larger number of voters will have a higher number of councillors. Often large populations are more likely to be diverse, both in the nature and number of their communities of interest and the issues of representation. </w:t>
      </w:r>
    </w:p>
    <w:p w14:paraId="15A12C86" w14:textId="77777777" w:rsidR="00F66E14" w:rsidRPr="00EF4ACB" w:rsidRDefault="00F66E14" w:rsidP="00675FC6">
      <w:pPr>
        <w:pStyle w:val="BodyText"/>
      </w:pPr>
      <w:r w:rsidRPr="00EF4ACB">
        <w:t xml:space="preserve">However, the VEC also considers the </w:t>
      </w:r>
      <w:proofErr w:type="gramStart"/>
      <w:r w:rsidRPr="00EF4ACB">
        <w:t>particular circumstances</w:t>
      </w:r>
      <w:proofErr w:type="gramEnd"/>
      <w:r w:rsidRPr="00EF4ACB">
        <w:t xml:space="preserve"> of each local council which could justify fewer or more councillors, such as: </w:t>
      </w:r>
    </w:p>
    <w:p w14:paraId="6335DDEE" w14:textId="77777777" w:rsidR="00F66E14" w:rsidRPr="00EF4ACB" w:rsidRDefault="00F66E14" w:rsidP="0050750B">
      <w:pPr>
        <w:pStyle w:val="BodyText"/>
        <w:numPr>
          <w:ilvl w:val="0"/>
          <w:numId w:val="10"/>
        </w:numPr>
      </w:pPr>
      <w:r w:rsidRPr="00EF4ACB">
        <w:t xml:space="preserve">the nature and complexity of services provided by the Council </w:t>
      </w:r>
    </w:p>
    <w:p w14:paraId="248FD7B8" w14:textId="77777777" w:rsidR="00F66E14" w:rsidRPr="00EF4ACB" w:rsidRDefault="00F66E14" w:rsidP="0050750B">
      <w:pPr>
        <w:pStyle w:val="BodyText"/>
        <w:numPr>
          <w:ilvl w:val="0"/>
          <w:numId w:val="10"/>
        </w:numPr>
      </w:pPr>
      <w:r w:rsidRPr="00EF4ACB">
        <w:t>geographic size and topography</w:t>
      </w:r>
    </w:p>
    <w:p w14:paraId="3D5362AB" w14:textId="77777777" w:rsidR="00F66E14" w:rsidRPr="00EF4ACB" w:rsidRDefault="00F66E14" w:rsidP="0050750B">
      <w:pPr>
        <w:pStyle w:val="BodyText"/>
        <w:numPr>
          <w:ilvl w:val="0"/>
          <w:numId w:val="10"/>
        </w:numPr>
      </w:pPr>
      <w:r w:rsidRPr="00EF4ACB">
        <w:t xml:space="preserve">population growth or decline </w:t>
      </w:r>
    </w:p>
    <w:p w14:paraId="42FD1622" w14:textId="77777777" w:rsidR="00F66E14" w:rsidRPr="00EF4ACB" w:rsidRDefault="00F66E14" w:rsidP="0050750B">
      <w:pPr>
        <w:pStyle w:val="BodyText"/>
        <w:numPr>
          <w:ilvl w:val="0"/>
          <w:numId w:val="10"/>
        </w:numPr>
      </w:pPr>
      <w:r w:rsidRPr="00EF4ACB">
        <w:t>the social diversity of the local council.</w:t>
      </w:r>
    </w:p>
    <w:p w14:paraId="0246F24B" w14:textId="77777777" w:rsidR="00F66E14" w:rsidRPr="00EF4ACB" w:rsidRDefault="00F66E14" w:rsidP="00675FC6">
      <w:pPr>
        <w:pStyle w:val="Heading3"/>
      </w:pPr>
      <w:r w:rsidRPr="00EF4ACB">
        <w:t>Deciding the electoral structure</w:t>
      </w:r>
    </w:p>
    <w:p w14:paraId="76C9D5D9" w14:textId="77777777" w:rsidR="00F66E14" w:rsidRPr="00EF4ACB" w:rsidRDefault="00F66E14" w:rsidP="00675FC6">
      <w:pPr>
        <w:pStyle w:val="BodyText"/>
      </w:pPr>
      <w:r w:rsidRPr="00EF4ACB">
        <w:t xml:space="preserve">The Act allows for a local council ward structure to be </w:t>
      </w:r>
      <w:proofErr w:type="spellStart"/>
      <w:r w:rsidRPr="00EF4ACB">
        <w:t>unsubdivided</w:t>
      </w:r>
      <w:proofErr w:type="spellEnd"/>
      <w:r w:rsidRPr="00EF4ACB">
        <w:t xml:space="preserve">—with all councillors elected ‘at-large’ by all voters—or subdivided into </w:t>
      </w:r>
      <w:proofErr w:type="gramStart"/>
      <w:r w:rsidRPr="00EF4ACB">
        <w:t>a number of</w:t>
      </w:r>
      <w:proofErr w:type="gramEnd"/>
      <w:r w:rsidRPr="00EF4ACB">
        <w:t xml:space="preserve"> wards.</w:t>
      </w:r>
    </w:p>
    <w:p w14:paraId="381DE54A" w14:textId="77777777" w:rsidR="00F66E14" w:rsidRPr="00EF4ACB" w:rsidRDefault="00F66E14" w:rsidP="00675FC6">
      <w:pPr>
        <w:pStyle w:val="BodyText"/>
      </w:pPr>
      <w:r w:rsidRPr="00EF4ACB">
        <w:t>If the local council is to be subdivided into wards, there are three options available:</w:t>
      </w:r>
    </w:p>
    <w:p w14:paraId="6DF2113C" w14:textId="77777777" w:rsidR="00F66E14" w:rsidRPr="00EF4ACB" w:rsidRDefault="00F66E14" w:rsidP="0050750B">
      <w:pPr>
        <w:pStyle w:val="BodyText"/>
        <w:numPr>
          <w:ilvl w:val="0"/>
          <w:numId w:val="11"/>
        </w:numPr>
      </w:pPr>
      <w:r w:rsidRPr="00EF4ACB">
        <w:t>single-councillor wards</w:t>
      </w:r>
    </w:p>
    <w:p w14:paraId="7A8C2454" w14:textId="77777777" w:rsidR="00F66E14" w:rsidRPr="00EF4ACB" w:rsidRDefault="00F66E14" w:rsidP="0050750B">
      <w:pPr>
        <w:pStyle w:val="BodyText"/>
        <w:numPr>
          <w:ilvl w:val="0"/>
          <w:numId w:val="11"/>
        </w:numPr>
      </w:pPr>
      <w:r w:rsidRPr="00EF4ACB">
        <w:t xml:space="preserve">multi-councillor wards </w:t>
      </w:r>
    </w:p>
    <w:p w14:paraId="6D5A9C54" w14:textId="77777777" w:rsidR="00F66E14" w:rsidRPr="00EF4ACB" w:rsidRDefault="00F66E14" w:rsidP="0050750B">
      <w:pPr>
        <w:pStyle w:val="BodyText"/>
        <w:numPr>
          <w:ilvl w:val="0"/>
          <w:numId w:val="11"/>
        </w:numPr>
      </w:pPr>
      <w:r w:rsidRPr="00EF4ACB">
        <w:t>a combination of single-councillor and multi-councillor wards.</w:t>
      </w:r>
    </w:p>
    <w:p w14:paraId="482C3F6C" w14:textId="77777777" w:rsidR="00F66E14" w:rsidRPr="00EF4ACB" w:rsidRDefault="00F66E14" w:rsidP="00675FC6">
      <w:pPr>
        <w:pStyle w:val="BodyText"/>
      </w:pPr>
      <w:r w:rsidRPr="00EF4ACB">
        <w:t xml:space="preserve">A subdivided electoral structure must be developed with internal ward boundaries that provide for a fair and equitable division of the local council. </w:t>
      </w:r>
    </w:p>
    <w:p w14:paraId="6489E447" w14:textId="77777777" w:rsidR="00F66E14" w:rsidRPr="00EF4ACB" w:rsidRDefault="00F66E14" w:rsidP="00675FC6">
      <w:pPr>
        <w:pStyle w:val="BodyText"/>
      </w:pPr>
      <w:r w:rsidRPr="00EF4ACB">
        <w:t xml:space="preserve">The Act allows for wards with different numbers of councillors, </w:t>
      </w:r>
      <w:proofErr w:type="gramStart"/>
      <w:r w:rsidRPr="00EF4ACB">
        <w:t>as long as</w:t>
      </w:r>
      <w:proofErr w:type="gramEnd"/>
      <w:r w:rsidRPr="00EF4ACB">
        <w:t xml:space="preserve"> the number of voters represented by each councillor is within plus-or-minus 10% of the average number of voters per councillor for that local council (Principle 2). For example, a local council may have one three-councillor ward with 15,000 voters and two single-councillor wards each with 5,000 voters. In this case, the average number of voters per councillor would be 5,000.</w:t>
      </w:r>
    </w:p>
    <w:p w14:paraId="19077407" w14:textId="77777777" w:rsidR="00F66E14" w:rsidRPr="00EF4ACB" w:rsidRDefault="00F66E14" w:rsidP="00675FC6">
      <w:pPr>
        <w:pStyle w:val="BodyText"/>
      </w:pPr>
      <w:r w:rsidRPr="00EF4ACB">
        <w:t>Over time, population changes can lead to some wards in subdivided local councils having larger or smaller numbers of voters. As part of the review, the VEC corrects any imbalances and considers likely population changes to ensure ward boundaries provide equitable representation for as long as possible.</w:t>
      </w:r>
    </w:p>
    <w:p w14:paraId="4DFAEA2A" w14:textId="77777777" w:rsidR="00F66E14" w:rsidRDefault="00F66E14" w:rsidP="00801FF3">
      <w:pPr>
        <w:pStyle w:val="BodyText"/>
      </w:pPr>
      <w:r w:rsidRPr="00801FF3">
        <w:lastRenderedPageBreak/>
        <w:t>In determining the most appropriate electoral structure, the VEC considers the following matters:</w:t>
      </w:r>
    </w:p>
    <w:p w14:paraId="2DF61AE3" w14:textId="77777777" w:rsidR="00F66E14" w:rsidRPr="00EF4ACB" w:rsidRDefault="00F66E14" w:rsidP="0050750B">
      <w:pPr>
        <w:pStyle w:val="BodyText"/>
        <w:numPr>
          <w:ilvl w:val="0"/>
          <w:numId w:val="12"/>
        </w:numPr>
      </w:pPr>
      <w:r w:rsidRPr="00EF4ACB">
        <w:t>the VEC’s recommendation at the previous representation review and the reasons for that recommendation</w:t>
      </w:r>
    </w:p>
    <w:p w14:paraId="557230D5" w14:textId="77777777" w:rsidR="00F66E14" w:rsidRPr="00EF4ACB" w:rsidRDefault="00F66E14" w:rsidP="0050750B">
      <w:pPr>
        <w:pStyle w:val="BodyText"/>
        <w:numPr>
          <w:ilvl w:val="0"/>
          <w:numId w:val="12"/>
        </w:numPr>
      </w:pPr>
      <w:r w:rsidRPr="00EF4ACB">
        <w:t>the longevity of the structure, with the aim of keeping voter numbers per councillor within the 10% tolerance for as long as possible (Principle 2)</w:t>
      </w:r>
    </w:p>
    <w:p w14:paraId="18C84854" w14:textId="77777777" w:rsidR="00F66E14" w:rsidRPr="00EF4ACB" w:rsidRDefault="00F66E14" w:rsidP="0050750B">
      <w:pPr>
        <w:pStyle w:val="BodyText"/>
        <w:numPr>
          <w:ilvl w:val="0"/>
          <w:numId w:val="12"/>
        </w:numPr>
      </w:pPr>
      <w:r w:rsidRPr="00EF4ACB">
        <w:t>communities of interest, consisting of people who share a range of common concerns, such as geographic, economic or cultural associations (Principle 3)</w:t>
      </w:r>
    </w:p>
    <w:p w14:paraId="568B7609" w14:textId="77777777" w:rsidR="00F66E14" w:rsidRPr="00EF4ACB" w:rsidRDefault="00F66E14" w:rsidP="0050750B">
      <w:pPr>
        <w:pStyle w:val="BodyText"/>
        <w:numPr>
          <w:ilvl w:val="0"/>
          <w:numId w:val="12"/>
        </w:numPr>
      </w:pPr>
      <w:r w:rsidRPr="00EF4ACB">
        <w:t>the number of candidates in previous elections, as outcomes from previous elections indicate that large numbers of candidates can lead to an increase in the number of informal (invalid) votes</w:t>
      </w:r>
    </w:p>
    <w:p w14:paraId="3F3C27F6" w14:textId="77777777" w:rsidR="00F66E14" w:rsidRPr="00EF4ACB" w:rsidRDefault="00F66E14" w:rsidP="0050750B">
      <w:pPr>
        <w:pStyle w:val="BodyText"/>
        <w:numPr>
          <w:ilvl w:val="0"/>
          <w:numId w:val="12"/>
        </w:numPr>
      </w:pPr>
      <w:r w:rsidRPr="00EF4ACB">
        <w:t>geographic factors, such as size and topography</w:t>
      </w:r>
    </w:p>
    <w:p w14:paraId="01D5E967" w14:textId="77777777" w:rsidR="00F66E14" w:rsidRPr="00EF4ACB" w:rsidRDefault="00F66E14" w:rsidP="0050750B">
      <w:pPr>
        <w:pStyle w:val="BodyText"/>
        <w:numPr>
          <w:ilvl w:val="0"/>
          <w:numId w:val="12"/>
        </w:numPr>
      </w:pPr>
      <w:r w:rsidRPr="00EF4ACB">
        <w:t>clear ward boundaries.</w:t>
      </w:r>
    </w:p>
    <w:p w14:paraId="0667D084" w14:textId="77777777" w:rsidR="00F66E14" w:rsidRPr="00EF4ACB" w:rsidRDefault="00F66E14" w:rsidP="00675FC6">
      <w:pPr>
        <w:pStyle w:val="Heading1numbered"/>
        <w:rPr>
          <w:rFonts w:ascii="Century Gothic" w:hAnsi="Century Gothic"/>
        </w:rPr>
      </w:pPr>
      <w:r w:rsidRPr="00EF4ACB">
        <w:rPr>
          <w:rFonts w:ascii="Century Gothic" w:hAnsi="Century Gothic"/>
        </w:rPr>
        <w:br w:type="page"/>
      </w:r>
      <w:bookmarkStart w:id="9" w:name="_Toc32583989"/>
      <w:r w:rsidRPr="001F13A4">
        <w:rPr>
          <w:rFonts w:ascii="Century Gothic" w:hAnsi="Century Gothic"/>
          <w:noProof/>
        </w:rPr>
        <w:lastRenderedPageBreak/>
        <w:t>Mansfield Shire Council</w:t>
      </w:r>
      <w:r w:rsidRPr="001F13A4">
        <w:rPr>
          <w:rFonts w:ascii="Century Gothic" w:hAnsi="Century Gothic"/>
        </w:rPr>
        <w:t xml:space="preserve"> representation</w:t>
      </w:r>
      <w:r w:rsidRPr="00EF4ACB">
        <w:rPr>
          <w:rFonts w:ascii="Century Gothic" w:hAnsi="Century Gothic"/>
        </w:rPr>
        <w:t xml:space="preserve"> review</w:t>
      </w:r>
      <w:bookmarkEnd w:id="9"/>
    </w:p>
    <w:p w14:paraId="57B6FEFE" w14:textId="77777777" w:rsidR="00F66E14" w:rsidRPr="00EF4ACB" w:rsidRDefault="00F66E14" w:rsidP="000B629D">
      <w:pPr>
        <w:pStyle w:val="Heading2numbered"/>
      </w:pPr>
      <w:bookmarkStart w:id="10" w:name="_Toc32583990"/>
      <w:r w:rsidRPr="00EF4ACB">
        <w:t xml:space="preserve">Profile of </w:t>
      </w:r>
      <w:r w:rsidRPr="00170C47">
        <w:rPr>
          <w:noProof/>
        </w:rPr>
        <w:t>Mansfield Shire Council</w:t>
      </w:r>
      <w:bookmarkEnd w:id="10"/>
    </w:p>
    <w:p w14:paraId="22613919" w14:textId="77777777" w:rsidR="00AB619D" w:rsidRPr="0034685D" w:rsidRDefault="00AB619D" w:rsidP="00AB619D">
      <w:pPr>
        <w:pStyle w:val="BodyText"/>
        <w:rPr>
          <w:color w:val="000000"/>
        </w:rPr>
      </w:pPr>
      <w:bookmarkStart w:id="11" w:name="_Toc32583991"/>
      <w:r w:rsidRPr="0034685D">
        <w:rPr>
          <w:color w:val="000000"/>
        </w:rPr>
        <w:t>Mansfield Shire is</w:t>
      </w:r>
      <w:r>
        <w:rPr>
          <w:color w:val="000000"/>
        </w:rPr>
        <w:t xml:space="preserve"> located </w:t>
      </w:r>
      <w:r w:rsidRPr="0034685D">
        <w:rPr>
          <w:color w:val="000000"/>
        </w:rPr>
        <w:t xml:space="preserve">approximately 115 kilometres north-east of the Melbourne CBD </w:t>
      </w:r>
      <w:r>
        <w:rPr>
          <w:color w:val="000000"/>
        </w:rPr>
        <w:t>in the Hume Region of Victoria</w:t>
      </w:r>
      <w:r w:rsidRPr="0034685D">
        <w:rPr>
          <w:color w:val="000000"/>
        </w:rPr>
        <w:t xml:space="preserve">. </w:t>
      </w:r>
    </w:p>
    <w:p w14:paraId="06D82EAE" w14:textId="6C6C10C6" w:rsidR="00AB619D" w:rsidRPr="0034685D" w:rsidRDefault="00AB619D" w:rsidP="00AB619D">
      <w:pPr>
        <w:pStyle w:val="BodyText"/>
        <w:rPr>
          <w:color w:val="000000"/>
        </w:rPr>
      </w:pPr>
      <w:r w:rsidRPr="0034685D">
        <w:rPr>
          <w:color w:val="000000"/>
        </w:rPr>
        <w:t>The Shire covers 3,843 square kilometres, approximately 60% of which consist</w:t>
      </w:r>
      <w:r w:rsidR="00371426">
        <w:rPr>
          <w:color w:val="000000"/>
        </w:rPr>
        <w:t>s</w:t>
      </w:r>
      <w:r w:rsidRPr="0034685D">
        <w:rPr>
          <w:color w:val="000000"/>
        </w:rPr>
        <w:t xml:space="preserve"> of National Parks, State Forests and timber plantations.</w:t>
      </w:r>
      <w:r w:rsidRPr="0034685D">
        <w:rPr>
          <w:rStyle w:val="FootnoteReference"/>
          <w:color w:val="000000"/>
        </w:rPr>
        <w:footnoteReference w:id="6"/>
      </w:r>
      <w:r w:rsidRPr="0034685D">
        <w:rPr>
          <w:color w:val="000000"/>
        </w:rPr>
        <w:t xml:space="preserve"> The landscape is dominated by the Great Dividing Range and includes high alpine areas, river valleys and rolling plains. Major waterways in the Shire include the Broken, </w:t>
      </w:r>
      <w:proofErr w:type="spellStart"/>
      <w:r w:rsidR="00B26ED4" w:rsidRPr="0034685D">
        <w:rPr>
          <w:color w:val="000000"/>
        </w:rPr>
        <w:t>Delatite</w:t>
      </w:r>
      <w:proofErr w:type="spellEnd"/>
      <w:r w:rsidR="00B26ED4" w:rsidRPr="0034685D">
        <w:rPr>
          <w:color w:val="000000"/>
        </w:rPr>
        <w:t>, Goulburn</w:t>
      </w:r>
      <w:r w:rsidR="00B26ED4">
        <w:rPr>
          <w:color w:val="000000"/>
        </w:rPr>
        <w:t>,</w:t>
      </w:r>
      <w:r w:rsidR="00B26ED4" w:rsidRPr="0034685D">
        <w:rPr>
          <w:color w:val="000000"/>
        </w:rPr>
        <w:t xml:space="preserve"> </w:t>
      </w:r>
      <w:r w:rsidRPr="0034685D">
        <w:rPr>
          <w:color w:val="000000"/>
        </w:rPr>
        <w:t xml:space="preserve">Howqua and </w:t>
      </w:r>
      <w:r w:rsidR="00B26ED4" w:rsidRPr="0034685D">
        <w:rPr>
          <w:color w:val="000000"/>
        </w:rPr>
        <w:t xml:space="preserve">Jamieson </w:t>
      </w:r>
      <w:r w:rsidRPr="0034685D">
        <w:rPr>
          <w:color w:val="000000"/>
        </w:rPr>
        <w:t>Rivers and Lake Eildon. A significant area of the local council is heavily forested and mountainous. The Shire includes parts of the Alpine and Lake Eildon National Parks, as well as access to Mount Buller and Mount Stirling, which are within the boundaries of Mansfield Shire but are not part of the local council. These alpine resorts are managed by the Mount Buller and Mount Stirling Alpine Resort Management Board.</w:t>
      </w:r>
      <w:r w:rsidRPr="0034685D">
        <w:rPr>
          <w:rStyle w:val="FootnoteReference"/>
          <w:color w:val="000000"/>
        </w:rPr>
        <w:footnoteReference w:id="7"/>
      </w:r>
      <w:r w:rsidRPr="0034685D">
        <w:rPr>
          <w:color w:val="000000"/>
        </w:rPr>
        <w:t xml:space="preserve"> </w:t>
      </w:r>
    </w:p>
    <w:p w14:paraId="2E837E56" w14:textId="77777777" w:rsidR="00AB619D" w:rsidRPr="0034685D" w:rsidRDefault="00AB619D" w:rsidP="00AB619D">
      <w:pPr>
        <w:pStyle w:val="BodyText"/>
        <w:rPr>
          <w:color w:val="000000"/>
        </w:rPr>
      </w:pPr>
      <w:r w:rsidRPr="0034685D">
        <w:rPr>
          <w:color w:val="000000"/>
        </w:rPr>
        <w:t>At the 2016 Census Mansfield Shire had a population of 8,584</w:t>
      </w:r>
      <w:r w:rsidR="00B42BF8">
        <w:rPr>
          <w:color w:val="000000"/>
        </w:rPr>
        <w:t>, w</w:t>
      </w:r>
      <w:r w:rsidR="00EC1B3E">
        <w:rPr>
          <w:color w:val="000000"/>
        </w:rPr>
        <w:t xml:space="preserve">ith most </w:t>
      </w:r>
      <w:r w:rsidRPr="0034685D">
        <w:rPr>
          <w:color w:val="000000"/>
        </w:rPr>
        <w:t xml:space="preserve">settlements </w:t>
      </w:r>
      <w:r w:rsidR="00F358E8">
        <w:rPr>
          <w:color w:val="000000"/>
        </w:rPr>
        <w:t>located</w:t>
      </w:r>
      <w:r w:rsidRPr="0034685D">
        <w:rPr>
          <w:color w:val="000000"/>
        </w:rPr>
        <w:t xml:space="preserve"> in the north of the Shire in the foothills of the Great Dividing Range.</w:t>
      </w:r>
      <w:r w:rsidR="00EC1B3E" w:rsidRPr="0034685D">
        <w:rPr>
          <w:rStyle w:val="FootnoteReference"/>
          <w:color w:val="000000"/>
        </w:rPr>
        <w:footnoteReference w:id="8"/>
      </w:r>
      <w:r w:rsidR="00EC1B3E" w:rsidRPr="0034685D">
        <w:rPr>
          <w:color w:val="000000"/>
        </w:rPr>
        <w:t xml:space="preserve"> </w:t>
      </w:r>
      <w:r w:rsidRPr="0034685D">
        <w:rPr>
          <w:color w:val="000000"/>
        </w:rPr>
        <w:t xml:space="preserve">Mansfield (population </w:t>
      </w:r>
      <w:r w:rsidRPr="0034685D">
        <w:t>4,787</w:t>
      </w:r>
      <w:r w:rsidRPr="0034685D">
        <w:rPr>
          <w:color w:val="000000"/>
        </w:rPr>
        <w:t>) is the major urban centre. Other towns include Bonnie Doon (570), Merrijig (549), Tolmie (447) and Jamieson (301), with additional smaller towns scattered across the local council area.</w:t>
      </w:r>
      <w:r w:rsidRPr="0034685D">
        <w:rPr>
          <w:rStyle w:val="FootnoteReference"/>
          <w:color w:val="000000"/>
        </w:rPr>
        <w:footnoteReference w:id="9"/>
      </w:r>
      <w:r w:rsidRPr="0034685D">
        <w:rPr>
          <w:color w:val="000000"/>
        </w:rPr>
        <w:t xml:space="preserve"> Approximately 50% of ratepayers in the Shire are either non-residents or part-time residents, and the population of the Shire increases on weekends and during tourist season peaks.</w:t>
      </w:r>
      <w:r w:rsidRPr="0034685D">
        <w:rPr>
          <w:rStyle w:val="FootnoteReference"/>
          <w:color w:val="000000"/>
        </w:rPr>
        <w:footnoteReference w:id="10"/>
      </w:r>
    </w:p>
    <w:p w14:paraId="05927AC5" w14:textId="77777777" w:rsidR="00AB619D" w:rsidRPr="0034685D" w:rsidRDefault="00AB619D" w:rsidP="00AB619D">
      <w:pPr>
        <w:pStyle w:val="BodyText"/>
        <w:rPr>
          <w:color w:val="000000"/>
        </w:rPr>
      </w:pPr>
      <w:r w:rsidRPr="0034685D">
        <w:rPr>
          <w:color w:val="000000"/>
        </w:rPr>
        <w:t>Tourism, agriculture, light industry and forestry are major industries and sources of employment.</w:t>
      </w:r>
      <w:r w:rsidRPr="0034685D">
        <w:rPr>
          <w:rStyle w:val="FootnoteReference"/>
          <w:color w:val="000000"/>
        </w:rPr>
        <w:footnoteReference w:id="11"/>
      </w:r>
      <w:r w:rsidRPr="0034685D">
        <w:rPr>
          <w:color w:val="000000"/>
        </w:rPr>
        <w:t xml:space="preserve"> Tourism is largely focused around the natural features of the Shire, </w:t>
      </w:r>
      <w:r w:rsidRPr="0034685D">
        <w:rPr>
          <w:color w:val="000000"/>
        </w:rPr>
        <w:lastRenderedPageBreak/>
        <w:t>particularly Lake Eildon and the alpine resorts.</w:t>
      </w:r>
      <w:r w:rsidRPr="0034685D">
        <w:rPr>
          <w:rStyle w:val="FootnoteReference"/>
          <w:color w:val="000000"/>
        </w:rPr>
        <w:footnoteReference w:id="12"/>
      </w:r>
      <w:r w:rsidRPr="0034685D">
        <w:rPr>
          <w:color w:val="000000"/>
        </w:rPr>
        <w:t xml:space="preserve"> Major agricultural activities include sheep and cattle grazing and the production of seed, grapes and tomatoes.</w:t>
      </w:r>
      <w:r w:rsidRPr="0034685D">
        <w:rPr>
          <w:rStyle w:val="FootnoteReference"/>
          <w:color w:val="000000"/>
        </w:rPr>
        <w:footnoteReference w:id="13"/>
      </w:r>
      <w:r w:rsidR="00E214CC">
        <w:rPr>
          <w:color w:val="000000"/>
        </w:rPr>
        <w:t xml:space="preserve"> </w:t>
      </w:r>
      <w:r w:rsidRPr="0034685D">
        <w:rPr>
          <w:color w:val="000000"/>
        </w:rPr>
        <w:t>Residents within the Shire mainly work in accommodation and food services (11.5%), retail trade (11.2%), construction (10.4%), education and training (9.5%) and agriculture/forestry/fishing (9.3%).</w:t>
      </w:r>
      <w:r w:rsidRPr="0034685D">
        <w:rPr>
          <w:rStyle w:val="FootnoteReference"/>
        </w:rPr>
        <w:footnoteReference w:id="14"/>
      </w:r>
      <w:r w:rsidRPr="0034685D">
        <w:rPr>
          <w:color w:val="000000"/>
        </w:rPr>
        <w:t xml:space="preserve"> </w:t>
      </w:r>
    </w:p>
    <w:p w14:paraId="5F7C7CA8" w14:textId="70AE0662" w:rsidR="00AB619D" w:rsidRPr="0034685D" w:rsidRDefault="00AB619D" w:rsidP="00AB619D">
      <w:pPr>
        <w:pStyle w:val="BodyText"/>
        <w:rPr>
          <w:color w:val="000000"/>
        </w:rPr>
      </w:pPr>
      <w:r w:rsidRPr="0034685D">
        <w:rPr>
          <w:color w:val="000000"/>
        </w:rPr>
        <w:t>The unemployment rate in Mansfield Shire (3.4%) is lower than both the regional Victorian average (6</w:t>
      </w:r>
      <w:r w:rsidR="00FC3556">
        <w:rPr>
          <w:color w:val="000000"/>
        </w:rPr>
        <w:t>.0</w:t>
      </w:r>
      <w:r w:rsidRPr="0034685D">
        <w:rPr>
          <w:color w:val="000000"/>
        </w:rPr>
        <w:t>%) and the State-wide average (6.6%).</w:t>
      </w:r>
      <w:r w:rsidRPr="0034685D">
        <w:rPr>
          <w:rStyle w:val="FootnoteReference"/>
          <w:color w:val="000000"/>
        </w:rPr>
        <w:footnoteReference w:id="15"/>
      </w:r>
      <w:r w:rsidRPr="0034685D">
        <w:rPr>
          <w:color w:val="000000"/>
        </w:rPr>
        <w:t xml:space="preserve"> The median weekly household income for residents of Mansfield Shire is lower than that of regional Victoria ($1,062 versus $1,124), while the median weekly personal income ($580) is slightly above the regional average ($576).</w:t>
      </w:r>
      <w:r w:rsidRPr="0034685D">
        <w:rPr>
          <w:rStyle w:val="FootnoteReference"/>
          <w:color w:val="000000"/>
        </w:rPr>
        <w:footnoteReference w:id="16"/>
      </w:r>
      <w:r w:rsidRPr="0034685D">
        <w:rPr>
          <w:color w:val="000000"/>
        </w:rPr>
        <w:t xml:space="preserve"> Although some areas within the local council are experiencing higher levels of disadvantage compared to regional Victoria (for example, Jamieson and Bonnie Doon), disadvantage is below average for the Shire overall.</w:t>
      </w:r>
      <w:r w:rsidRPr="0034685D">
        <w:rPr>
          <w:rStyle w:val="FootnoteReference"/>
          <w:color w:val="000000"/>
        </w:rPr>
        <w:footnoteReference w:id="17"/>
      </w:r>
    </w:p>
    <w:p w14:paraId="45C70F80" w14:textId="6A96AE0E" w:rsidR="00AB619D" w:rsidRPr="0034685D" w:rsidRDefault="00AB619D" w:rsidP="00AB619D">
      <w:pPr>
        <w:pStyle w:val="BodyText"/>
        <w:rPr>
          <w:color w:val="000000"/>
        </w:rPr>
      </w:pPr>
      <w:r w:rsidRPr="0034685D">
        <w:rPr>
          <w:color w:val="000000"/>
        </w:rPr>
        <w:t>The population within the local council is older and ag</w:t>
      </w:r>
      <w:r w:rsidR="00E13A45">
        <w:rPr>
          <w:color w:val="000000"/>
        </w:rPr>
        <w:t>e</w:t>
      </w:r>
      <w:r w:rsidRPr="0034685D">
        <w:rPr>
          <w:color w:val="000000"/>
        </w:rPr>
        <w:t xml:space="preserve">ing. The median age is 48 years, which is higher than average </w:t>
      </w:r>
      <w:r w:rsidR="001A68A2">
        <w:rPr>
          <w:color w:val="000000"/>
        </w:rPr>
        <w:t xml:space="preserve">compared to </w:t>
      </w:r>
      <w:r w:rsidRPr="0034685D">
        <w:rPr>
          <w:color w:val="000000"/>
        </w:rPr>
        <w:t xml:space="preserve">regional Victoria (43 years). Mansfield Shire </w:t>
      </w:r>
      <w:r w:rsidR="003D65D3">
        <w:rPr>
          <w:color w:val="000000"/>
        </w:rPr>
        <w:t xml:space="preserve">also </w:t>
      </w:r>
      <w:r w:rsidRPr="0034685D">
        <w:rPr>
          <w:color w:val="000000"/>
        </w:rPr>
        <w:t>has lower proportions of younger residents aged 44 years or under, and higher proportions of people aged 45 years and older</w:t>
      </w:r>
      <w:r w:rsidR="003D65D3">
        <w:rPr>
          <w:color w:val="000000"/>
        </w:rPr>
        <w:t xml:space="preserve"> </w:t>
      </w:r>
      <w:r w:rsidR="007703F3">
        <w:rPr>
          <w:color w:val="000000"/>
        </w:rPr>
        <w:t xml:space="preserve">when </w:t>
      </w:r>
      <w:r w:rsidR="003D65D3">
        <w:rPr>
          <w:color w:val="000000"/>
        </w:rPr>
        <w:t>compared to regional Victoria</w:t>
      </w:r>
      <w:r w:rsidRPr="0034685D">
        <w:rPr>
          <w:color w:val="000000"/>
        </w:rPr>
        <w:t>.</w:t>
      </w:r>
      <w:r w:rsidRPr="0034685D">
        <w:rPr>
          <w:rStyle w:val="FootnoteReference"/>
          <w:color w:val="000000"/>
        </w:rPr>
        <w:footnoteReference w:id="18"/>
      </w:r>
      <w:r w:rsidRPr="0034685D">
        <w:rPr>
          <w:color w:val="000000"/>
        </w:rPr>
        <w:t xml:space="preserve"> The proportion of the population aged over 75 years is expected to increase significantly in the future.</w:t>
      </w:r>
      <w:r w:rsidRPr="0034685D">
        <w:rPr>
          <w:rStyle w:val="FootnoteReference"/>
          <w:color w:val="000000"/>
        </w:rPr>
        <w:footnoteReference w:id="19"/>
      </w:r>
    </w:p>
    <w:p w14:paraId="00AA6C82" w14:textId="189EAC67" w:rsidR="00AB619D" w:rsidRPr="0034685D" w:rsidRDefault="00AB619D" w:rsidP="00AB619D">
      <w:pPr>
        <w:pStyle w:val="BodyText"/>
        <w:rPr>
          <w:color w:val="000000"/>
        </w:rPr>
      </w:pPr>
      <w:r w:rsidRPr="0034685D">
        <w:rPr>
          <w:color w:val="000000"/>
        </w:rPr>
        <w:t xml:space="preserve">Most residents were born in Australia (79.5%) and speak only English at home (88.5%). This is characteristic for regional Victoria: 80.7% of the regional population were born in Australia and 86.6% speak only English at home. Mansfield Shire residents who were born </w:t>
      </w:r>
      <w:r w:rsidRPr="0034685D">
        <w:rPr>
          <w:color w:val="000000"/>
        </w:rPr>
        <w:lastRenderedPageBreak/>
        <w:t>overseas mainly come from England (3.9%), New Zealand (1</w:t>
      </w:r>
      <w:r w:rsidR="00FC3556">
        <w:rPr>
          <w:color w:val="000000"/>
        </w:rPr>
        <w:t>.0</w:t>
      </w:r>
      <w:r w:rsidRPr="0034685D">
        <w:rPr>
          <w:color w:val="000000"/>
        </w:rPr>
        <w:t>%), Germany (0.9%), Scotland (0.5%) and the Netherlands (0.4%).</w:t>
      </w:r>
      <w:r w:rsidRPr="0034685D">
        <w:rPr>
          <w:rStyle w:val="FootnoteReference"/>
          <w:color w:val="000000"/>
        </w:rPr>
        <w:footnoteReference w:id="20"/>
      </w:r>
    </w:p>
    <w:p w14:paraId="251163E3" w14:textId="7454E8EF" w:rsidR="00AB619D" w:rsidRPr="0034685D" w:rsidRDefault="00AB619D" w:rsidP="00AB619D">
      <w:pPr>
        <w:pStyle w:val="BodyText"/>
        <w:rPr>
          <w:color w:val="000000"/>
        </w:rPr>
      </w:pPr>
      <w:r w:rsidRPr="0034685D">
        <w:rPr>
          <w:color w:val="000000"/>
        </w:rPr>
        <w:t xml:space="preserve">The proportion of the Shire’s population identifying as Aboriginal and Torres Strait Islander (0.7%) is lower than average for regional Victoria (1.6%). The </w:t>
      </w:r>
      <w:proofErr w:type="spellStart"/>
      <w:r w:rsidRPr="0034685D">
        <w:rPr>
          <w:color w:val="000000"/>
        </w:rPr>
        <w:t>Taungurung</w:t>
      </w:r>
      <w:proofErr w:type="spellEnd"/>
      <w:r w:rsidRPr="0034685D">
        <w:rPr>
          <w:color w:val="000000"/>
        </w:rPr>
        <w:t xml:space="preserve"> people are the </w:t>
      </w:r>
      <w:r w:rsidR="00CE0466">
        <w:rPr>
          <w:color w:val="000000"/>
        </w:rPr>
        <w:t>T</w:t>
      </w:r>
      <w:r w:rsidRPr="0034685D">
        <w:rPr>
          <w:color w:val="000000"/>
        </w:rPr>
        <w:t xml:space="preserve">raditional </w:t>
      </w:r>
      <w:r w:rsidR="00CE0466">
        <w:rPr>
          <w:color w:val="000000"/>
        </w:rPr>
        <w:t>C</w:t>
      </w:r>
      <w:r w:rsidRPr="0034685D">
        <w:rPr>
          <w:color w:val="000000"/>
        </w:rPr>
        <w:t>ustodians of the land known as Mansfield Shire.</w:t>
      </w:r>
      <w:r w:rsidRPr="0034685D">
        <w:rPr>
          <w:color w:val="000000"/>
          <w:vertAlign w:val="superscript"/>
        </w:rPr>
        <w:footnoteReference w:id="21"/>
      </w:r>
    </w:p>
    <w:p w14:paraId="2731B8D6" w14:textId="075EBEA4" w:rsidR="00AB619D" w:rsidRPr="0034685D" w:rsidRDefault="00AB619D" w:rsidP="00AB619D">
      <w:pPr>
        <w:pStyle w:val="BodyText"/>
        <w:rPr>
          <w:color w:val="000000"/>
        </w:rPr>
      </w:pPr>
      <w:r w:rsidRPr="0034685D">
        <w:rPr>
          <w:color w:val="000000"/>
        </w:rPr>
        <w:t>There are an estimated 10,971 registered voters for Mansfield Shire Council, with a ratio of 2,194 voters per councillor. Between 2018</w:t>
      </w:r>
      <w:r w:rsidR="00CE0466">
        <w:rPr>
          <w:color w:val="000000"/>
        </w:rPr>
        <w:t>–</w:t>
      </w:r>
      <w:r w:rsidRPr="0034685D">
        <w:rPr>
          <w:color w:val="000000"/>
        </w:rPr>
        <w:t>2036 the population is expected to increase at a rate of 1.1% per annum, from 8,584 to approximately 10,970 residents.</w:t>
      </w:r>
      <w:r w:rsidRPr="0034685D">
        <w:rPr>
          <w:rStyle w:val="FootnoteReference"/>
          <w:color w:val="000000"/>
        </w:rPr>
        <w:footnoteReference w:id="22"/>
      </w:r>
    </w:p>
    <w:p w14:paraId="398C9FA7" w14:textId="77777777" w:rsidR="00F66E14" w:rsidRPr="00EF4ACB" w:rsidRDefault="00F66E14" w:rsidP="000B629D">
      <w:pPr>
        <w:pStyle w:val="Heading2numbered"/>
      </w:pPr>
      <w:r w:rsidRPr="00EF4ACB">
        <w:t xml:space="preserve">Current </w:t>
      </w:r>
      <w:r>
        <w:t xml:space="preserve">number of councillors and </w:t>
      </w:r>
      <w:r w:rsidRPr="00EF4ACB">
        <w:t>electoral structure</w:t>
      </w:r>
      <w:bookmarkEnd w:id="11"/>
    </w:p>
    <w:p w14:paraId="62D5AAD0" w14:textId="77777777" w:rsidR="00DE6AF2" w:rsidRPr="00A8331C" w:rsidRDefault="00DE6AF2" w:rsidP="00DE6AF2">
      <w:pPr>
        <w:pStyle w:val="Heading2noTOC"/>
        <w:spacing w:before="0" w:after="120"/>
        <w:rPr>
          <w:rFonts w:eastAsia="Calibri" w:cs="Arial"/>
          <w:b w:val="0"/>
          <w:bCs w:val="0"/>
          <w:color w:val="auto"/>
          <w:sz w:val="22"/>
          <w:szCs w:val="22"/>
        </w:rPr>
      </w:pPr>
      <w:r w:rsidRPr="00A8331C">
        <w:rPr>
          <w:rFonts w:eastAsia="Calibri" w:cs="Arial"/>
          <w:b w:val="0"/>
          <w:bCs w:val="0"/>
          <w:color w:val="auto"/>
          <w:sz w:val="22"/>
          <w:szCs w:val="22"/>
        </w:rPr>
        <w:t xml:space="preserve">Mansfield Shire Council currently comprises five councillors elected from four wards (one two-councillor ward and three single-councillor wards). At the last representation review in 2007 the VEC recommended that Mansfield Shire Council continue with the current electoral structure, which has been in place since the formation of the Shire in 2002. </w:t>
      </w:r>
    </w:p>
    <w:p w14:paraId="3A06C754" w14:textId="77777777" w:rsidR="00DE6AF2" w:rsidRDefault="00DE6AF2" w:rsidP="00DE6AF2">
      <w:pPr>
        <w:pStyle w:val="Heading2noTOC"/>
        <w:rPr>
          <w:rFonts w:eastAsia="Calibri" w:cs="Arial"/>
          <w:b w:val="0"/>
          <w:bCs w:val="0"/>
          <w:color w:val="auto"/>
          <w:sz w:val="22"/>
          <w:szCs w:val="22"/>
        </w:rPr>
      </w:pPr>
      <w:r w:rsidRPr="00A8331C">
        <w:rPr>
          <w:rFonts w:eastAsia="Calibri" w:cs="Arial"/>
          <w:b w:val="0"/>
          <w:bCs w:val="0"/>
          <w:color w:val="auto"/>
          <w:sz w:val="22"/>
          <w:szCs w:val="22"/>
        </w:rPr>
        <w:t xml:space="preserve">Visit the VEC website at </w:t>
      </w:r>
      <w:hyperlink r:id="rId17" w:history="1">
        <w:r w:rsidRPr="00263B02">
          <w:rPr>
            <w:rStyle w:val="Hyperlink"/>
            <w:rFonts w:eastAsia="Calibri" w:cs="Arial"/>
            <w:b w:val="0"/>
            <w:bCs w:val="0"/>
            <w:sz w:val="22"/>
            <w:szCs w:val="22"/>
          </w:rPr>
          <w:t>vec.vic.gov.au</w:t>
        </w:r>
      </w:hyperlink>
      <w:r>
        <w:rPr>
          <w:rFonts w:eastAsia="Calibri" w:cs="Arial"/>
          <w:b w:val="0"/>
          <w:bCs w:val="0"/>
          <w:color w:val="auto"/>
          <w:sz w:val="22"/>
          <w:szCs w:val="22"/>
        </w:rPr>
        <w:t xml:space="preserve"> </w:t>
      </w:r>
      <w:r w:rsidRPr="00A8331C">
        <w:rPr>
          <w:rFonts w:eastAsia="Calibri" w:cs="Arial"/>
          <w:b w:val="0"/>
          <w:bCs w:val="0"/>
          <w:color w:val="auto"/>
          <w:sz w:val="22"/>
          <w:szCs w:val="22"/>
        </w:rPr>
        <w:t xml:space="preserve">for more information on Mansfield Shire Council and to access </w:t>
      </w:r>
      <w:r>
        <w:rPr>
          <w:rFonts w:eastAsia="Calibri" w:cs="Arial"/>
          <w:b w:val="0"/>
          <w:bCs w:val="0"/>
          <w:color w:val="auto"/>
          <w:sz w:val="22"/>
          <w:szCs w:val="22"/>
        </w:rPr>
        <w:t xml:space="preserve">a </w:t>
      </w:r>
      <w:r w:rsidRPr="00A8331C">
        <w:rPr>
          <w:rFonts w:eastAsia="Calibri" w:cs="Arial"/>
          <w:b w:val="0"/>
          <w:bCs w:val="0"/>
          <w:color w:val="auto"/>
          <w:sz w:val="22"/>
          <w:szCs w:val="22"/>
        </w:rPr>
        <w:t>cop</w:t>
      </w:r>
      <w:r>
        <w:rPr>
          <w:rFonts w:eastAsia="Calibri" w:cs="Arial"/>
          <w:b w:val="0"/>
          <w:bCs w:val="0"/>
          <w:color w:val="auto"/>
          <w:sz w:val="22"/>
          <w:szCs w:val="22"/>
        </w:rPr>
        <w:t>y</w:t>
      </w:r>
      <w:r w:rsidRPr="00A8331C">
        <w:rPr>
          <w:rFonts w:eastAsia="Calibri" w:cs="Arial"/>
          <w:b w:val="0"/>
          <w:bCs w:val="0"/>
          <w:color w:val="auto"/>
          <w:sz w:val="22"/>
          <w:szCs w:val="22"/>
        </w:rPr>
        <w:t xml:space="preserve"> of the 2007 representation review final report. </w:t>
      </w:r>
    </w:p>
    <w:p w14:paraId="3119AC38" w14:textId="77777777" w:rsidR="00F66E14" w:rsidRPr="00EF4ACB" w:rsidRDefault="00F66E14" w:rsidP="0023195F">
      <w:pPr>
        <w:pStyle w:val="Heading2numbered"/>
      </w:pPr>
      <w:bookmarkStart w:id="12" w:name="_Toc32583992"/>
      <w:r w:rsidRPr="00EF4ACB">
        <w:t>Preliminary submissions</w:t>
      </w:r>
      <w:bookmarkEnd w:id="12"/>
      <w:r w:rsidRPr="00EF4ACB">
        <w:t xml:space="preserve"> </w:t>
      </w:r>
    </w:p>
    <w:p w14:paraId="40F0BDDB" w14:textId="4941B9F1" w:rsidR="00F66E14" w:rsidRPr="00EF4ACB" w:rsidRDefault="00F66E14" w:rsidP="0023195F">
      <w:pPr>
        <w:pStyle w:val="BodyText"/>
      </w:pPr>
      <w:r w:rsidRPr="00EF4ACB">
        <w:t xml:space="preserve">At the close of </w:t>
      </w:r>
      <w:r w:rsidRPr="00FF4315">
        <w:t>submission</w:t>
      </w:r>
      <w:r w:rsidR="00CE0466">
        <w:t>s</w:t>
      </w:r>
      <w:r w:rsidRPr="00FF4315">
        <w:t xml:space="preserve"> on </w:t>
      </w:r>
      <w:r w:rsidRPr="00FF4315">
        <w:rPr>
          <w:noProof/>
        </w:rPr>
        <w:t>Wednesday 27 November 2019</w:t>
      </w:r>
      <w:r w:rsidRPr="00FF4315">
        <w:t xml:space="preserve">, the VEC had received </w:t>
      </w:r>
      <w:r w:rsidR="00FF4315" w:rsidRPr="00FF4315">
        <w:t xml:space="preserve">10 </w:t>
      </w:r>
      <w:r w:rsidRPr="00FF4315">
        <w:t xml:space="preserve">submissions for the representation review of </w:t>
      </w:r>
      <w:r w:rsidRPr="00FF4315">
        <w:rPr>
          <w:noProof/>
        </w:rPr>
        <w:t>Mansfield Shire Council</w:t>
      </w:r>
      <w:r w:rsidRPr="00FF4315">
        <w:t>. A list of people who made a preliminary submission can be found in Appendix 1.</w:t>
      </w:r>
    </w:p>
    <w:p w14:paraId="6EB04868" w14:textId="77777777" w:rsidR="00F66E14" w:rsidRPr="00EF4ACB" w:rsidRDefault="00102C80" w:rsidP="0023195F">
      <w:pPr>
        <w:pStyle w:val="BodyText"/>
        <w:rPr>
          <w:highlight w:val="yellow"/>
        </w:rPr>
      </w:pPr>
      <w:r w:rsidRPr="0034685D">
        <w:t>Submissions were received from a range of stakeholders including individuals and community organisations. The submissions were made available on the VEC website</w:t>
      </w:r>
      <w:r>
        <w:t>.</w:t>
      </w:r>
    </w:p>
    <w:p w14:paraId="7BD6B36A" w14:textId="77777777" w:rsidR="00F66E14" w:rsidRPr="00EF4ACB" w:rsidRDefault="00F66E14" w:rsidP="000D46B9">
      <w:pPr>
        <w:pStyle w:val="Heading3"/>
      </w:pPr>
      <w:r w:rsidRPr="00EF4ACB">
        <w:t>Number of councillors</w:t>
      </w:r>
    </w:p>
    <w:p w14:paraId="76ADF09A" w14:textId="0B846DEA" w:rsidR="00870314" w:rsidRPr="0034685D" w:rsidRDefault="00870314" w:rsidP="00870314">
      <w:pPr>
        <w:pStyle w:val="BodyText"/>
      </w:pPr>
      <w:r w:rsidRPr="0034685D">
        <w:t xml:space="preserve">Six preliminary submissions supported maintaining </w:t>
      </w:r>
      <w:r>
        <w:t xml:space="preserve">the number of </w:t>
      </w:r>
      <w:r w:rsidR="00F01A6A">
        <w:t xml:space="preserve">five </w:t>
      </w:r>
      <w:r>
        <w:t xml:space="preserve">councillors for </w:t>
      </w:r>
      <w:r w:rsidRPr="0034685D">
        <w:t>Mansfield Shire Council.</w:t>
      </w:r>
      <w:r>
        <w:t xml:space="preserve"> Submitters supporting the current number of councillors </w:t>
      </w:r>
      <w:r w:rsidRPr="0034685D">
        <w:t>argued that</w:t>
      </w:r>
      <w:r>
        <w:t xml:space="preserve"> an increased number of councillors was not required, as</w:t>
      </w:r>
      <w:r w:rsidRPr="0034685D">
        <w:t xml:space="preserve"> councillor workloads were less demanding than those of similar</w:t>
      </w:r>
      <w:r w:rsidR="00494D08">
        <w:t xml:space="preserve"> country Victoria</w:t>
      </w:r>
      <w:r w:rsidRPr="0034685D">
        <w:t xml:space="preserve"> local councils with seven councillors, and that five councillors remained </w:t>
      </w:r>
      <w:proofErr w:type="gramStart"/>
      <w:r w:rsidRPr="0034685D">
        <w:t>sufficient</w:t>
      </w:r>
      <w:proofErr w:type="gramEnd"/>
      <w:r w:rsidRPr="0034685D">
        <w:t xml:space="preserve"> for representing voters across </w:t>
      </w:r>
      <w:r w:rsidRPr="0034685D">
        <w:lastRenderedPageBreak/>
        <w:t xml:space="preserve">the local council area. It was also argued that having five councillors made it easier to scrutinise councillor performance and meant there was less chance of factions or political alliances forming within the councillor group. One submitter indicated concern that an increased number of councillors </w:t>
      </w:r>
      <w:r>
        <w:t>c</w:t>
      </w:r>
      <w:r w:rsidRPr="0034685D">
        <w:t>ould increase costs for the community.</w:t>
      </w:r>
    </w:p>
    <w:p w14:paraId="09F430F8" w14:textId="77777777" w:rsidR="00870314" w:rsidRPr="0034685D" w:rsidRDefault="00870314" w:rsidP="00870314">
      <w:pPr>
        <w:pStyle w:val="BodyText"/>
      </w:pPr>
      <w:r w:rsidRPr="0034685D">
        <w:t xml:space="preserve">One submission suggested the number of councillors be increased to six to enable the creation of an additional single-councillor ward. </w:t>
      </w:r>
    </w:p>
    <w:p w14:paraId="780758A8" w14:textId="77777777" w:rsidR="00870314" w:rsidRPr="0034685D" w:rsidRDefault="00870314" w:rsidP="00870314">
      <w:pPr>
        <w:pStyle w:val="BodyText"/>
      </w:pPr>
      <w:r w:rsidRPr="0034685D">
        <w:t>Two submissions supported an increase to seven councillors</w:t>
      </w:r>
      <w:r>
        <w:t xml:space="preserve">, </w:t>
      </w:r>
      <w:r w:rsidRPr="0034685D">
        <w:t>argu</w:t>
      </w:r>
      <w:r>
        <w:t>ing</w:t>
      </w:r>
      <w:r w:rsidRPr="0034685D">
        <w:t xml:space="preserve"> that this would bring Mansfield Shire Council in line with other local councils of similar size and numbers of voters. It was also argued that an increased number of councillors would increase the quorum at council meetings</w:t>
      </w:r>
      <w:r>
        <w:t>,</w:t>
      </w:r>
      <w:r w:rsidRPr="0034685D">
        <w:t xml:space="preserve"> </w:t>
      </w:r>
      <w:r>
        <w:t>which would</w:t>
      </w:r>
      <w:r w:rsidRPr="0034685D">
        <w:t xml:space="preserve"> increase the minimum number of votes needed to pass a Council decision</w:t>
      </w:r>
      <w:r>
        <w:t xml:space="preserve"> and </w:t>
      </w:r>
      <w:r w:rsidRPr="0034685D">
        <w:t xml:space="preserve">remove the risk of potentially contentious council decisions being determined by only two councillors. </w:t>
      </w:r>
    </w:p>
    <w:p w14:paraId="4CE11892" w14:textId="77777777" w:rsidR="00F66E14" w:rsidRPr="00EF4ACB" w:rsidRDefault="00870314" w:rsidP="00870314">
      <w:pPr>
        <w:pStyle w:val="BodyText"/>
      </w:pPr>
      <w:r>
        <w:t>One submitter</w:t>
      </w:r>
      <w:r w:rsidRPr="0034685D">
        <w:t xml:space="preserve"> </w:t>
      </w:r>
      <w:r>
        <w:t xml:space="preserve">indicated a preference </w:t>
      </w:r>
      <w:r w:rsidRPr="0034685D">
        <w:t xml:space="preserve">for an odd number of councillors and supported either the retention of five </w:t>
      </w:r>
      <w:r>
        <w:t xml:space="preserve">councillors </w:t>
      </w:r>
      <w:r w:rsidRPr="0034685D">
        <w:t>or an increase to seven</w:t>
      </w:r>
      <w:r w:rsidR="008861DD">
        <w:t>.</w:t>
      </w:r>
    </w:p>
    <w:p w14:paraId="72787679" w14:textId="77777777" w:rsidR="00F66E14" w:rsidRPr="00EF4ACB" w:rsidRDefault="00F66E14" w:rsidP="000D46B9">
      <w:pPr>
        <w:pStyle w:val="Heading3"/>
      </w:pPr>
      <w:r w:rsidRPr="00EF4ACB">
        <w:t>Electoral structure</w:t>
      </w:r>
    </w:p>
    <w:p w14:paraId="1265ED35" w14:textId="77777777" w:rsidR="00D70E14" w:rsidRPr="002F5B48" w:rsidRDefault="00D70E14" w:rsidP="00D70E14">
      <w:pPr>
        <w:pStyle w:val="BodyText"/>
      </w:pPr>
      <w:r w:rsidRPr="003D5828">
        <w:t>Five submitters supported the current electoral structure, arguing that it works well for the Shire</w:t>
      </w:r>
      <w:r>
        <w:t xml:space="preserve">. Supporters argued that </w:t>
      </w:r>
      <w:r w:rsidRPr="003D5828">
        <w:t>the ward boundaries provide</w:t>
      </w:r>
      <w:r>
        <w:t>d</w:t>
      </w:r>
      <w:r w:rsidRPr="003D5828">
        <w:t xml:space="preserve"> a reasonable representation of the different geographic areas and land uses in the local council</w:t>
      </w:r>
      <w:r w:rsidRPr="002F5B48">
        <w:t xml:space="preserve">, and that having wards </w:t>
      </w:r>
      <w:r>
        <w:t xml:space="preserve">enabled </w:t>
      </w:r>
      <w:r w:rsidRPr="002F5B48">
        <w:t>councillors to gain a</w:t>
      </w:r>
      <w:r>
        <w:t xml:space="preserve"> good</w:t>
      </w:r>
      <w:r w:rsidRPr="002F5B48">
        <w:t xml:space="preserve"> knowledge of ward issues </w:t>
      </w:r>
      <w:r>
        <w:t xml:space="preserve">and </w:t>
      </w:r>
      <w:r w:rsidRPr="002F5B48">
        <w:t>facilitated communication between communities and the Council.</w:t>
      </w:r>
    </w:p>
    <w:p w14:paraId="6B49B76F" w14:textId="77777777" w:rsidR="00D70E14" w:rsidRDefault="00D70E14" w:rsidP="00D70E14">
      <w:pPr>
        <w:pStyle w:val="BodyText"/>
      </w:pPr>
      <w:r>
        <w:t>O</w:t>
      </w:r>
      <w:r w:rsidRPr="002F5B48">
        <w:t xml:space="preserve">ne submitter </w:t>
      </w:r>
      <w:r>
        <w:t xml:space="preserve">who supported the current electoral structure </w:t>
      </w:r>
      <w:r w:rsidRPr="002F5B48">
        <w:t>also raised concerns about the history of uncontested elections in the Shire</w:t>
      </w:r>
      <w:r>
        <w:t xml:space="preserve"> and </w:t>
      </w:r>
      <w:r w:rsidRPr="002F5B48">
        <w:t>suggested that voters in uncontested wards should have the opportunity to vote for candidates from other wards.</w:t>
      </w:r>
    </w:p>
    <w:p w14:paraId="060F0B79" w14:textId="77777777" w:rsidR="00D70E14" w:rsidRDefault="00D70E14" w:rsidP="00D70E14">
      <w:pPr>
        <w:pStyle w:val="BodyText"/>
      </w:pPr>
      <w:r w:rsidRPr="00B32C9C">
        <w:t xml:space="preserve">Two submitters supported an </w:t>
      </w:r>
      <w:proofErr w:type="spellStart"/>
      <w:r w:rsidRPr="00B32C9C">
        <w:t>unsubdivided</w:t>
      </w:r>
      <w:proofErr w:type="spellEnd"/>
      <w:r w:rsidRPr="00B32C9C">
        <w:t xml:space="preserve"> electoral structure.</w:t>
      </w:r>
      <w:r>
        <w:t xml:space="preserve"> Of these, one submitter argued that it was logical </w:t>
      </w:r>
      <w:r w:rsidRPr="00B32C9C">
        <w:t>that all voters across the Shire be able to elect all councillors</w:t>
      </w:r>
      <w:r>
        <w:t xml:space="preserve">, as </w:t>
      </w:r>
      <w:r w:rsidRPr="00B32C9C">
        <w:t>Mansfield Shire councillors undertake most of their work on behalf of the whole Shire</w:t>
      </w:r>
      <w:r>
        <w:t xml:space="preserve">. The second submitter </w:t>
      </w:r>
      <w:r w:rsidRPr="00B32C9C">
        <w:t xml:space="preserve">argued that </w:t>
      </w:r>
      <w:r>
        <w:t xml:space="preserve">an </w:t>
      </w:r>
      <w:proofErr w:type="spellStart"/>
      <w:r>
        <w:t>unsubdivided</w:t>
      </w:r>
      <w:proofErr w:type="spellEnd"/>
      <w:r>
        <w:t xml:space="preserve"> electoral structure would reduce the risk of uncontested elections, maximise the number of candidates that voters could choose from, remove the need to adjust ward boundaries over time, and reduce the likelihood that councillors would take their positions for granted. Another</w:t>
      </w:r>
      <w:r w:rsidRPr="00B32C9C">
        <w:t xml:space="preserve"> submitter opposed moving to an </w:t>
      </w:r>
      <w:proofErr w:type="spellStart"/>
      <w:r w:rsidRPr="00B32C9C">
        <w:t>unsubdivided</w:t>
      </w:r>
      <w:proofErr w:type="spellEnd"/>
      <w:r w:rsidRPr="00B32C9C">
        <w:t xml:space="preserve"> electoral structure</w:t>
      </w:r>
      <w:r>
        <w:t xml:space="preserve">, </w:t>
      </w:r>
      <w:r w:rsidRPr="00B32C9C">
        <w:t>argu</w:t>
      </w:r>
      <w:r>
        <w:t>ing</w:t>
      </w:r>
      <w:r w:rsidRPr="00B32C9C">
        <w:t xml:space="preserve"> that </w:t>
      </w:r>
      <w:r>
        <w:t>the</w:t>
      </w:r>
      <w:r w:rsidRPr="00B32C9C">
        <w:t xml:space="preserve"> </w:t>
      </w:r>
      <w:r>
        <w:t xml:space="preserve">Shire was </w:t>
      </w:r>
      <w:r>
        <w:lastRenderedPageBreak/>
        <w:t xml:space="preserve">more suited to a subdivided electoral structure because the </w:t>
      </w:r>
      <w:r w:rsidRPr="00B32C9C">
        <w:t>town of Mansfield was more urban in character and had different interests to the smaller townships of the Shire</w:t>
      </w:r>
      <w:r>
        <w:t>.</w:t>
      </w:r>
    </w:p>
    <w:p w14:paraId="0A37D509" w14:textId="77777777" w:rsidR="00D70E14" w:rsidRDefault="00D70E14" w:rsidP="00D70E14">
      <w:pPr>
        <w:pStyle w:val="BodyText"/>
      </w:pPr>
      <w:r>
        <w:t xml:space="preserve">One submitter proposed a multi-councillor, three-ward electoral structure for Mansfield Shire Council. This submitter supported an increased number of councillors for the Shire </w:t>
      </w:r>
      <w:r w:rsidRPr="0094533C">
        <w:t>but found that increasing councillor numbers would require the electoral structure to be redesigned</w:t>
      </w:r>
      <w:r>
        <w:t>.</w:t>
      </w:r>
      <w:r w:rsidRPr="00135A4F">
        <w:t xml:space="preserve"> </w:t>
      </w:r>
      <w:r>
        <w:t xml:space="preserve">The proposed redesign consisted of </w:t>
      </w:r>
      <w:r w:rsidRPr="00135A4F">
        <w:t>one three-councillor ward for the town of Mansfield and surrounds (Mansfield Ward), a two-councillor ward for the northern area encompassing Bonnie Doon and Tolmie (Bonnie Doon Ward), and a two-councillor ward for the southern area encompassing Merrijig, Jamieson, Macs Cove and Howqua Inlet (Buller-Eildon Ward).</w:t>
      </w:r>
      <w:r>
        <w:t xml:space="preserve"> </w:t>
      </w:r>
    </w:p>
    <w:p w14:paraId="1AF476F7" w14:textId="77777777" w:rsidR="00D70E14" w:rsidRPr="00BA1E31" w:rsidRDefault="00D70E14" w:rsidP="00D70E14">
      <w:pPr>
        <w:pStyle w:val="BodyText"/>
      </w:pPr>
      <w:r w:rsidRPr="009631D6">
        <w:t xml:space="preserve">Two submitters supported single-councillor ward electoral structures. </w:t>
      </w:r>
      <w:r>
        <w:t>Of these, one submitter</w:t>
      </w:r>
      <w:r w:rsidRPr="009631D6">
        <w:t xml:space="preserve"> supported the current electoral structure but stated the existing two-councillor Mansfield Ward should be divided into two single-councillor wards.</w:t>
      </w:r>
      <w:r>
        <w:t xml:space="preserve"> The second submitter </w:t>
      </w:r>
      <w:r w:rsidRPr="009631D6">
        <w:t xml:space="preserve">called for Bonnie Doon Ward to </w:t>
      </w:r>
      <w:r>
        <w:t xml:space="preserve">also </w:t>
      </w:r>
      <w:r w:rsidRPr="009631D6">
        <w:t xml:space="preserve">be split into two separate wards, creating an additional </w:t>
      </w:r>
      <w:proofErr w:type="gramStart"/>
      <w:r w:rsidRPr="009631D6">
        <w:t>single-councillor</w:t>
      </w:r>
      <w:proofErr w:type="gramEnd"/>
      <w:r w:rsidRPr="009631D6">
        <w:t xml:space="preserve"> ‘Lakeside’ Ward for the Woodfield and </w:t>
      </w:r>
      <w:proofErr w:type="spellStart"/>
      <w:r w:rsidRPr="009631D6">
        <w:t>Maintongoon</w:t>
      </w:r>
      <w:proofErr w:type="spellEnd"/>
      <w:r w:rsidRPr="009631D6">
        <w:t xml:space="preserve"> Road area.</w:t>
      </w:r>
      <w:r>
        <w:t xml:space="preserve"> Another submitter </w:t>
      </w:r>
      <w:r w:rsidRPr="009631D6">
        <w:t xml:space="preserve">strongly opposed single-councillor wards, arguing that this type of structure </w:t>
      </w:r>
      <w:r w:rsidRPr="00BA1E31">
        <w:t xml:space="preserve">carried a risk of continued uncontested elections for the Shire and minimised voter choice </w:t>
      </w:r>
      <w:r>
        <w:t xml:space="preserve">by restricting </w:t>
      </w:r>
      <w:r w:rsidRPr="00BA1E31">
        <w:t xml:space="preserve">voters to </w:t>
      </w:r>
      <w:r>
        <w:t>selecting from</w:t>
      </w:r>
      <w:r w:rsidRPr="00BA1E31">
        <w:t xml:space="preserve"> the candidates nominating for their ward.</w:t>
      </w:r>
    </w:p>
    <w:p w14:paraId="2F849A27" w14:textId="77777777" w:rsidR="00D70E14" w:rsidRPr="0034685D" w:rsidRDefault="00D70E14" w:rsidP="00D70E14">
      <w:pPr>
        <w:pStyle w:val="BodyText"/>
      </w:pPr>
      <w:r w:rsidRPr="00BA1E31">
        <w:t xml:space="preserve">Overall, </w:t>
      </w:r>
      <w:proofErr w:type="gramStart"/>
      <w:r w:rsidRPr="00BA1E31">
        <w:t>the majority of</w:t>
      </w:r>
      <w:proofErr w:type="gramEnd"/>
      <w:r w:rsidRPr="00BA1E31">
        <w:t xml:space="preserve"> preliminary submissions supported a subdivided electoral structure for Mansfield Shire Council.</w:t>
      </w:r>
    </w:p>
    <w:p w14:paraId="0D1A9B65" w14:textId="77777777" w:rsidR="00F66E14" w:rsidRPr="00EF4ACB" w:rsidRDefault="00F66E14" w:rsidP="002518F6">
      <w:pPr>
        <w:pStyle w:val="Heading2numbered"/>
      </w:pPr>
      <w:bookmarkStart w:id="13" w:name="_Toc32583993"/>
      <w:r w:rsidRPr="00EF4ACB">
        <w:t>Preliminary report</w:t>
      </w:r>
      <w:bookmarkEnd w:id="13"/>
    </w:p>
    <w:p w14:paraId="50C82145" w14:textId="77777777" w:rsidR="00F66E14" w:rsidRPr="00EF4ACB" w:rsidRDefault="00F66E14" w:rsidP="002518F6">
      <w:pPr>
        <w:pStyle w:val="BodyText"/>
        <w:rPr>
          <w:highlight w:val="magenta"/>
        </w:rPr>
      </w:pPr>
      <w:r w:rsidRPr="00EF4ACB">
        <w:t xml:space="preserve">A preliminary report </w:t>
      </w:r>
      <w:r w:rsidRPr="00344FC4">
        <w:t xml:space="preserve">was released on </w:t>
      </w:r>
      <w:r w:rsidRPr="00344FC4">
        <w:rPr>
          <w:noProof/>
        </w:rPr>
        <w:t>Wednesday 29 January 2020</w:t>
      </w:r>
      <w:r w:rsidRPr="00344FC4">
        <w:t>. The VEC considered public submissions and research</w:t>
      </w:r>
      <w:r w:rsidRPr="00EF4ACB">
        <w:t xml:space="preserve"> findings when formulating the options presented in the preliminary report. </w:t>
      </w:r>
    </w:p>
    <w:p w14:paraId="28B13B05" w14:textId="77777777" w:rsidR="00F66E14" w:rsidRPr="00EF4ACB" w:rsidRDefault="00F66E14" w:rsidP="0040477F">
      <w:pPr>
        <w:pStyle w:val="Heading3"/>
      </w:pPr>
      <w:r w:rsidRPr="00EF4ACB">
        <w:t>Number of councillors</w:t>
      </w:r>
    </w:p>
    <w:p w14:paraId="3231F852" w14:textId="77777777" w:rsidR="005E0152" w:rsidRPr="00C40CA2" w:rsidRDefault="005E0152" w:rsidP="005E0152">
      <w:pPr>
        <w:pStyle w:val="BodyText"/>
      </w:pPr>
      <w:r w:rsidRPr="00C40CA2">
        <w:t xml:space="preserve">When considering the appropriate number of councillors for a local council, the VEC reviews population data and assesses other factors which may warrant an increase or decrease in the number of councillors, such as projected population growth or special circumstances relating to distinct communities of interest. </w:t>
      </w:r>
    </w:p>
    <w:p w14:paraId="421042E5" w14:textId="008729B5" w:rsidR="005E0152" w:rsidRDefault="005E0152" w:rsidP="005E0152">
      <w:pPr>
        <w:pStyle w:val="BodyText"/>
      </w:pPr>
      <w:r w:rsidRPr="00D6029F">
        <w:t xml:space="preserve">Mansfield Shire Council covers an area of 3,843 square kilometres and currently has 10,971 voters represented by five councillors. The average number of voters per councillor is 2,194. Country Victorian local councils of a similar size and number of voters </w:t>
      </w:r>
      <w:r w:rsidRPr="00D6029F">
        <w:lastRenderedPageBreak/>
        <w:t>to Mansfield Shire Council generally have seven councillors and, on average</w:t>
      </w:r>
      <w:r w:rsidR="00843572">
        <w:t>,</w:t>
      </w:r>
      <w:r w:rsidRPr="00D6029F">
        <w:t xml:space="preserve"> have significantly fewer voters per councillor. Based on this comparison,</w:t>
      </w:r>
      <w:r w:rsidR="0095321A">
        <w:t xml:space="preserve"> the VEC recognised that</w:t>
      </w:r>
      <w:r w:rsidRPr="00D6029F">
        <w:t xml:space="preserve"> it </w:t>
      </w:r>
      <w:r w:rsidR="00CB52F9">
        <w:t>may</w:t>
      </w:r>
      <w:r w:rsidR="00CB52F9" w:rsidRPr="00D6029F">
        <w:t xml:space="preserve"> </w:t>
      </w:r>
      <w:r w:rsidRPr="00D6029F">
        <w:t>be logical for the number of councillors in Mansfield Shire to be increased to seven to bring the Shire in line with similar local councils across Victoria</w:t>
      </w:r>
      <w:r>
        <w:t>.</w:t>
      </w:r>
    </w:p>
    <w:p w14:paraId="04E3349F" w14:textId="77777777" w:rsidR="005E0152" w:rsidRDefault="005E0152" w:rsidP="005E0152">
      <w:pPr>
        <w:pStyle w:val="BodyText"/>
      </w:pPr>
      <w:r w:rsidRPr="00174CBC">
        <w:t>Although it may be appropriate to increase the number of councillors to seven, the VEC’s analysis and the information provided in preliminary submissions also identified special circumstances that support</w:t>
      </w:r>
      <w:r>
        <w:t>ed</w:t>
      </w:r>
      <w:r w:rsidRPr="00174CBC">
        <w:t xml:space="preserve"> a recommendation for Mansfield Shire Council to retain five councillors.</w:t>
      </w:r>
    </w:p>
    <w:p w14:paraId="1B665AAE" w14:textId="2211E7DC" w:rsidR="005E0152" w:rsidRPr="00C827EB" w:rsidRDefault="005E0152" w:rsidP="005E0152">
      <w:pPr>
        <w:pStyle w:val="BodyText"/>
      </w:pPr>
      <w:r w:rsidRPr="00C827EB">
        <w:t>Compared to regional Victorian averages, Mansfield Shire is expected to experience below average growth in the short-to-medium term. The Mansfield Shire population is largely socially and linguistically homogenous and the overall level of disadvantage</w:t>
      </w:r>
      <w:r>
        <w:t xml:space="preserve"> in the Shire</w:t>
      </w:r>
      <w:r w:rsidRPr="00C827EB">
        <w:t xml:space="preserve"> is below average for regional Victoria. The Shire’s population is ageing, but this is also the case for much of regional Victoria. Although the Shire is a popular tourist destination with many visitors during weekends and holidays, the Shire also has a large proportion of non-resident voters who tend to have fewer demands on Council and councillors than residents. In addition,</w:t>
      </w:r>
      <w:r w:rsidR="008C7FC5">
        <w:t xml:space="preserve"> </w:t>
      </w:r>
      <w:r w:rsidR="008C7FC5" w:rsidRPr="00C827EB">
        <w:t>travel times for councillors when interacting with communities</w:t>
      </w:r>
      <w:r w:rsidR="008C7FC5">
        <w:t xml:space="preserve"> </w:t>
      </w:r>
      <w:r w:rsidR="008C7FC5" w:rsidRPr="00C827EB">
        <w:t xml:space="preserve">would be likely to </w:t>
      </w:r>
      <w:r w:rsidR="008C7FC5">
        <w:t>be</w:t>
      </w:r>
      <w:r w:rsidR="008C7FC5" w:rsidRPr="00C827EB">
        <w:t xml:space="preserve"> manageable</w:t>
      </w:r>
      <w:r w:rsidR="008C7FC5">
        <w:t>,</w:t>
      </w:r>
      <w:r w:rsidRPr="00C827EB">
        <w:t xml:space="preserve"> </w:t>
      </w:r>
      <w:r w:rsidR="00274E58">
        <w:t>because</w:t>
      </w:r>
      <w:r>
        <w:t xml:space="preserve"> </w:t>
      </w:r>
      <w:r w:rsidR="00E13A45">
        <w:t>the great majority</w:t>
      </w:r>
      <w:r>
        <w:t xml:space="preserve"> of</w:t>
      </w:r>
      <w:r w:rsidRPr="00C827EB">
        <w:t xml:space="preserve"> the population</w:t>
      </w:r>
      <w:r w:rsidR="008C7FC5">
        <w:t xml:space="preserve"> resides</w:t>
      </w:r>
      <w:r w:rsidRPr="00C827EB">
        <w:t xml:space="preserve"> in the north-west of the local council </w:t>
      </w:r>
      <w:r>
        <w:t xml:space="preserve">and </w:t>
      </w:r>
      <w:r w:rsidRPr="00C827EB">
        <w:t xml:space="preserve">over 60% of the local council area </w:t>
      </w:r>
      <w:r w:rsidR="008C7FC5">
        <w:t xml:space="preserve">is </w:t>
      </w:r>
      <w:r>
        <w:t xml:space="preserve">unpopulated </w:t>
      </w:r>
      <w:r w:rsidRPr="00C827EB">
        <w:t>public land.</w:t>
      </w:r>
    </w:p>
    <w:p w14:paraId="40B1916A" w14:textId="77777777" w:rsidR="005E0152" w:rsidRPr="0034685D" w:rsidRDefault="005E0152" w:rsidP="005E0152">
      <w:pPr>
        <w:pStyle w:val="BodyText"/>
      </w:pPr>
      <w:r w:rsidRPr="009F1D4E">
        <w:rPr>
          <w:color w:val="000000"/>
        </w:rPr>
        <w:t>For these reasons, the VEC considered that either five or seven councillors would be appropriate for Mansfield Shire Council, and the options put forward by the VEC consisted of both five and seven councillors.</w:t>
      </w:r>
    </w:p>
    <w:p w14:paraId="77245EEE" w14:textId="77777777" w:rsidR="00F66E14" w:rsidRPr="00EF4ACB" w:rsidRDefault="00F66E14" w:rsidP="0040477F">
      <w:pPr>
        <w:pStyle w:val="Heading3"/>
      </w:pPr>
      <w:r w:rsidRPr="00EF4ACB">
        <w:t>Electoral structure</w:t>
      </w:r>
    </w:p>
    <w:tbl>
      <w:tblPr>
        <w:tblW w:w="5000" w:type="pct"/>
        <w:tblCellMar>
          <w:left w:w="0" w:type="dxa"/>
          <w:right w:w="0" w:type="dxa"/>
        </w:tblCellMar>
        <w:tblLook w:val="04A0" w:firstRow="1" w:lastRow="0" w:firstColumn="1" w:lastColumn="0" w:noHBand="0" w:noVBand="1"/>
      </w:tblPr>
      <w:tblGrid>
        <w:gridCol w:w="2058"/>
        <w:gridCol w:w="1439"/>
        <w:gridCol w:w="5948"/>
      </w:tblGrid>
      <w:tr w:rsidR="00BA18F2" w:rsidRPr="00BA18F2" w14:paraId="395D7A07" w14:textId="77777777" w:rsidTr="00960E94">
        <w:trPr>
          <w:cantSplit/>
        </w:trPr>
        <w:tc>
          <w:tcPr>
            <w:tcW w:w="5000" w:type="pct"/>
            <w:gridSpan w:val="3"/>
            <w:tcBorders>
              <w:top w:val="single" w:sz="8" w:space="0" w:color="auto"/>
              <w:left w:val="nil"/>
              <w:bottom w:val="single" w:sz="8" w:space="0" w:color="auto"/>
              <w:right w:val="nil"/>
            </w:tcBorders>
            <w:tcMar>
              <w:top w:w="0" w:type="dxa"/>
              <w:left w:w="108" w:type="dxa"/>
              <w:bottom w:w="0" w:type="dxa"/>
              <w:right w:w="108" w:type="dxa"/>
            </w:tcMar>
            <w:hideMark/>
          </w:tcPr>
          <w:p w14:paraId="495ABEFB" w14:textId="77777777" w:rsidR="00BA18F2" w:rsidRPr="00BA18F2" w:rsidRDefault="002D3766" w:rsidP="00960E94">
            <w:pPr>
              <w:pStyle w:val="Tableheading"/>
              <w:jc w:val="center"/>
            </w:pPr>
            <w:r>
              <w:t xml:space="preserve">Table 1: </w:t>
            </w:r>
            <w:r w:rsidR="00BA18F2" w:rsidRPr="00BA18F2">
              <w:t>Overview of models considered</w:t>
            </w:r>
          </w:p>
        </w:tc>
      </w:tr>
      <w:tr w:rsidR="00BA18F2" w:rsidRPr="00BA18F2" w14:paraId="3D9323D6" w14:textId="77777777" w:rsidTr="00BA18F2">
        <w:trPr>
          <w:cantSplit/>
        </w:trPr>
        <w:tc>
          <w:tcPr>
            <w:tcW w:w="1089" w:type="pct"/>
            <w:shd w:val="clear" w:color="auto" w:fill="E5EEE1"/>
            <w:tcMar>
              <w:top w:w="0" w:type="dxa"/>
              <w:left w:w="108" w:type="dxa"/>
              <w:bottom w:w="0" w:type="dxa"/>
              <w:right w:w="108" w:type="dxa"/>
            </w:tcMar>
            <w:vAlign w:val="center"/>
            <w:hideMark/>
          </w:tcPr>
          <w:p w14:paraId="521F2606" w14:textId="77777777" w:rsidR="00BA18F2" w:rsidRPr="00BA18F2" w:rsidRDefault="00BA18F2" w:rsidP="00960E94">
            <w:pPr>
              <w:pStyle w:val="Tabletext"/>
              <w:rPr>
                <w:b/>
                <w:bCs/>
                <w:sz w:val="20"/>
                <w:szCs w:val="20"/>
              </w:rPr>
            </w:pPr>
            <w:r w:rsidRPr="00BA18F2">
              <w:rPr>
                <w:b/>
                <w:bCs/>
                <w:sz w:val="20"/>
                <w:szCs w:val="20"/>
              </w:rPr>
              <w:t>Electoral structure</w:t>
            </w:r>
          </w:p>
        </w:tc>
        <w:tc>
          <w:tcPr>
            <w:tcW w:w="762" w:type="pct"/>
            <w:shd w:val="clear" w:color="auto" w:fill="E5EEE1"/>
            <w:tcMar>
              <w:top w:w="0" w:type="dxa"/>
              <w:left w:w="108" w:type="dxa"/>
              <w:bottom w:w="0" w:type="dxa"/>
              <w:right w:w="108" w:type="dxa"/>
            </w:tcMar>
            <w:vAlign w:val="center"/>
            <w:hideMark/>
          </w:tcPr>
          <w:p w14:paraId="100298F6" w14:textId="77777777" w:rsidR="00BA18F2" w:rsidRPr="00BA18F2" w:rsidRDefault="00BA18F2" w:rsidP="00960E94">
            <w:pPr>
              <w:pStyle w:val="Tabletext"/>
              <w:jc w:val="center"/>
              <w:rPr>
                <w:b/>
                <w:bCs/>
                <w:sz w:val="20"/>
                <w:szCs w:val="20"/>
              </w:rPr>
            </w:pPr>
            <w:r w:rsidRPr="00BA18F2">
              <w:rPr>
                <w:b/>
                <w:bCs/>
                <w:sz w:val="20"/>
                <w:szCs w:val="20"/>
                <w:lang w:eastAsia="en-AU"/>
              </w:rPr>
              <w:t>Option in preliminary report</w:t>
            </w:r>
          </w:p>
        </w:tc>
        <w:tc>
          <w:tcPr>
            <w:tcW w:w="3149" w:type="pct"/>
            <w:shd w:val="clear" w:color="auto" w:fill="E5EEE1"/>
            <w:tcMar>
              <w:top w:w="0" w:type="dxa"/>
              <w:left w:w="108" w:type="dxa"/>
              <w:bottom w:w="0" w:type="dxa"/>
              <w:right w:w="108" w:type="dxa"/>
            </w:tcMar>
            <w:vAlign w:val="center"/>
            <w:hideMark/>
          </w:tcPr>
          <w:p w14:paraId="4EB2D49B" w14:textId="77777777" w:rsidR="00BA18F2" w:rsidRPr="00BA18F2" w:rsidRDefault="00BA18F2" w:rsidP="00960E94">
            <w:pPr>
              <w:pStyle w:val="Tabletext"/>
              <w:jc w:val="center"/>
              <w:rPr>
                <w:b/>
                <w:bCs/>
                <w:sz w:val="20"/>
                <w:szCs w:val="20"/>
                <w:lang w:eastAsia="en-AU"/>
              </w:rPr>
            </w:pPr>
            <w:r w:rsidRPr="00BA18F2">
              <w:rPr>
                <w:b/>
                <w:bCs/>
                <w:sz w:val="20"/>
                <w:szCs w:val="20"/>
              </w:rPr>
              <w:t>Key considerations</w:t>
            </w:r>
          </w:p>
        </w:tc>
      </w:tr>
      <w:tr w:rsidR="00BA18F2" w:rsidRPr="00BA18F2" w14:paraId="32024287" w14:textId="77777777" w:rsidTr="00BA18F2">
        <w:trPr>
          <w:cantSplit/>
        </w:trPr>
        <w:tc>
          <w:tcPr>
            <w:tcW w:w="1089" w:type="pct"/>
            <w:tcMar>
              <w:top w:w="0" w:type="dxa"/>
              <w:left w:w="108" w:type="dxa"/>
              <w:bottom w:w="0" w:type="dxa"/>
              <w:right w:w="108" w:type="dxa"/>
            </w:tcMar>
            <w:vAlign w:val="center"/>
            <w:hideMark/>
          </w:tcPr>
          <w:p w14:paraId="50D2A74D" w14:textId="77777777" w:rsidR="00BA18F2" w:rsidRPr="00BA18F2" w:rsidRDefault="00BA18F2" w:rsidP="00960E94">
            <w:pPr>
              <w:pStyle w:val="Tabletext"/>
              <w:spacing w:line="252" w:lineRule="auto"/>
              <w:rPr>
                <w:sz w:val="20"/>
                <w:szCs w:val="20"/>
              </w:rPr>
            </w:pPr>
            <w:r w:rsidRPr="00BA18F2">
              <w:rPr>
                <w:sz w:val="20"/>
                <w:szCs w:val="20"/>
              </w:rPr>
              <w:t>Current structure (with adjustments)</w:t>
            </w:r>
          </w:p>
        </w:tc>
        <w:tc>
          <w:tcPr>
            <w:tcW w:w="762" w:type="pct"/>
            <w:tcMar>
              <w:top w:w="0" w:type="dxa"/>
              <w:left w:w="108" w:type="dxa"/>
              <w:bottom w:w="0" w:type="dxa"/>
              <w:right w:w="108" w:type="dxa"/>
            </w:tcMar>
            <w:vAlign w:val="center"/>
            <w:hideMark/>
          </w:tcPr>
          <w:p w14:paraId="3C6917A7" w14:textId="77777777" w:rsidR="00BA18F2" w:rsidRPr="00BA18F2" w:rsidRDefault="00BA18F2" w:rsidP="00960E94">
            <w:pPr>
              <w:pStyle w:val="Tabletext"/>
              <w:spacing w:line="252" w:lineRule="auto"/>
              <w:jc w:val="center"/>
              <w:rPr>
                <w:sz w:val="20"/>
                <w:szCs w:val="20"/>
              </w:rPr>
            </w:pPr>
            <w:r w:rsidRPr="00BA18F2">
              <w:rPr>
                <w:sz w:val="20"/>
                <w:szCs w:val="20"/>
              </w:rPr>
              <w:t>Option A</w:t>
            </w:r>
          </w:p>
        </w:tc>
        <w:tc>
          <w:tcPr>
            <w:tcW w:w="3149" w:type="pct"/>
            <w:tcMar>
              <w:top w:w="0" w:type="dxa"/>
              <w:left w:w="108" w:type="dxa"/>
              <w:bottom w:w="0" w:type="dxa"/>
              <w:right w:w="108" w:type="dxa"/>
            </w:tcMar>
            <w:vAlign w:val="center"/>
            <w:hideMark/>
          </w:tcPr>
          <w:p w14:paraId="26BD43FA"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Projected elector population estimates indicate that this electoral structure will be viable until the next scheduled review in 2028</w:t>
            </w:r>
          </w:p>
          <w:p w14:paraId="45E58D49"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 xml:space="preserve">Additional councillors may not be required based on special circumstances </w:t>
            </w:r>
          </w:p>
          <w:p w14:paraId="1269FD98"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Supported through submissions</w:t>
            </w:r>
          </w:p>
          <w:p w14:paraId="07325C0E"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Minimal change</w:t>
            </w:r>
          </w:p>
        </w:tc>
      </w:tr>
      <w:tr w:rsidR="00BA18F2" w:rsidRPr="00BA18F2" w14:paraId="69F4D4DF" w14:textId="77777777" w:rsidTr="00BA18F2">
        <w:trPr>
          <w:cantSplit/>
        </w:trPr>
        <w:tc>
          <w:tcPr>
            <w:tcW w:w="1089" w:type="pct"/>
            <w:shd w:val="clear" w:color="auto" w:fill="E5EEE1"/>
            <w:tcMar>
              <w:top w:w="0" w:type="dxa"/>
              <w:left w:w="108" w:type="dxa"/>
              <w:bottom w:w="0" w:type="dxa"/>
              <w:right w:w="108" w:type="dxa"/>
            </w:tcMar>
            <w:vAlign w:val="center"/>
            <w:hideMark/>
          </w:tcPr>
          <w:p w14:paraId="1BBF0CC9" w14:textId="77777777" w:rsidR="00BA18F2" w:rsidRPr="00BA18F2" w:rsidRDefault="00BA18F2" w:rsidP="00960E94">
            <w:pPr>
              <w:pStyle w:val="Tabletext"/>
              <w:spacing w:line="252" w:lineRule="auto"/>
              <w:rPr>
                <w:rFonts w:eastAsiaTheme="minorHAnsi"/>
                <w:sz w:val="20"/>
                <w:szCs w:val="20"/>
                <w:lang w:eastAsia="en-AU"/>
              </w:rPr>
            </w:pPr>
            <w:r w:rsidRPr="00BA18F2">
              <w:rPr>
                <w:sz w:val="20"/>
                <w:szCs w:val="20"/>
                <w:lang w:eastAsia="en-AU"/>
              </w:rPr>
              <w:lastRenderedPageBreak/>
              <w:t xml:space="preserve">5 councillors, </w:t>
            </w:r>
            <w:proofErr w:type="spellStart"/>
            <w:r w:rsidRPr="00BA18F2">
              <w:rPr>
                <w:sz w:val="20"/>
                <w:szCs w:val="20"/>
                <w:lang w:eastAsia="en-AU"/>
              </w:rPr>
              <w:t>unsubdivided</w:t>
            </w:r>
            <w:proofErr w:type="spellEnd"/>
          </w:p>
        </w:tc>
        <w:tc>
          <w:tcPr>
            <w:tcW w:w="762" w:type="pct"/>
            <w:shd w:val="clear" w:color="auto" w:fill="E5EEE1"/>
            <w:tcMar>
              <w:top w:w="0" w:type="dxa"/>
              <w:left w:w="108" w:type="dxa"/>
              <w:bottom w:w="0" w:type="dxa"/>
              <w:right w:w="108" w:type="dxa"/>
            </w:tcMar>
            <w:vAlign w:val="center"/>
            <w:hideMark/>
          </w:tcPr>
          <w:p w14:paraId="0B5A4966" w14:textId="77777777" w:rsidR="00BA18F2" w:rsidRPr="00BA18F2" w:rsidRDefault="00BA18F2" w:rsidP="00960E94">
            <w:pPr>
              <w:pStyle w:val="Tabletext"/>
              <w:spacing w:line="252" w:lineRule="auto"/>
              <w:jc w:val="center"/>
              <w:rPr>
                <w:sz w:val="20"/>
                <w:szCs w:val="20"/>
                <w:lang w:eastAsia="en-AU"/>
              </w:rPr>
            </w:pPr>
            <w:r w:rsidRPr="00BA18F2">
              <w:rPr>
                <w:sz w:val="20"/>
                <w:szCs w:val="20"/>
                <w:lang w:eastAsia="en-AU"/>
              </w:rPr>
              <w:t>Option B</w:t>
            </w:r>
          </w:p>
        </w:tc>
        <w:tc>
          <w:tcPr>
            <w:tcW w:w="3149" w:type="pct"/>
            <w:shd w:val="clear" w:color="auto" w:fill="E5EEE1"/>
            <w:tcMar>
              <w:top w:w="0" w:type="dxa"/>
              <w:left w:w="108" w:type="dxa"/>
              <w:bottom w:w="0" w:type="dxa"/>
              <w:right w:w="108" w:type="dxa"/>
            </w:tcMar>
            <w:vAlign w:val="center"/>
            <w:hideMark/>
          </w:tcPr>
          <w:p w14:paraId="21BE8162"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History of uncontested elections in single-councillor wards</w:t>
            </w:r>
          </w:p>
          <w:p w14:paraId="24765057"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Additional councillors may not be required based on special circumstances</w:t>
            </w:r>
          </w:p>
        </w:tc>
      </w:tr>
      <w:tr w:rsidR="00BA18F2" w:rsidRPr="00BA18F2" w14:paraId="2545E975" w14:textId="77777777" w:rsidTr="00BA18F2">
        <w:trPr>
          <w:cantSplit/>
        </w:trPr>
        <w:tc>
          <w:tcPr>
            <w:tcW w:w="1089" w:type="pct"/>
            <w:tcMar>
              <w:top w:w="0" w:type="dxa"/>
              <w:left w:w="108" w:type="dxa"/>
              <w:bottom w:w="0" w:type="dxa"/>
              <w:right w:w="108" w:type="dxa"/>
            </w:tcMar>
            <w:vAlign w:val="center"/>
            <w:hideMark/>
          </w:tcPr>
          <w:p w14:paraId="709762D9" w14:textId="77777777" w:rsidR="00BA18F2" w:rsidRPr="00BA18F2" w:rsidRDefault="00BA18F2" w:rsidP="00960E94">
            <w:pPr>
              <w:pStyle w:val="Tabletext"/>
              <w:spacing w:line="252" w:lineRule="auto"/>
              <w:rPr>
                <w:rFonts w:eastAsiaTheme="minorHAnsi"/>
                <w:sz w:val="20"/>
                <w:szCs w:val="20"/>
                <w:lang w:eastAsia="en-AU"/>
              </w:rPr>
            </w:pPr>
            <w:r w:rsidRPr="00BA18F2">
              <w:rPr>
                <w:sz w:val="20"/>
                <w:szCs w:val="20"/>
                <w:lang w:eastAsia="en-AU"/>
              </w:rPr>
              <w:t xml:space="preserve">7 councillors, </w:t>
            </w:r>
            <w:proofErr w:type="spellStart"/>
            <w:r w:rsidRPr="00BA18F2">
              <w:rPr>
                <w:sz w:val="20"/>
                <w:szCs w:val="20"/>
                <w:lang w:eastAsia="en-AU"/>
              </w:rPr>
              <w:t>unsubdivided</w:t>
            </w:r>
            <w:proofErr w:type="spellEnd"/>
          </w:p>
        </w:tc>
        <w:tc>
          <w:tcPr>
            <w:tcW w:w="762" w:type="pct"/>
            <w:tcMar>
              <w:top w:w="0" w:type="dxa"/>
              <w:left w:w="108" w:type="dxa"/>
              <w:bottom w:w="0" w:type="dxa"/>
              <w:right w:w="108" w:type="dxa"/>
            </w:tcMar>
            <w:vAlign w:val="center"/>
            <w:hideMark/>
          </w:tcPr>
          <w:p w14:paraId="7AB817FD" w14:textId="77777777" w:rsidR="00BA18F2" w:rsidRPr="00BA18F2" w:rsidRDefault="00BA18F2" w:rsidP="00960E94">
            <w:pPr>
              <w:pStyle w:val="Tabletext"/>
              <w:spacing w:line="252" w:lineRule="auto"/>
              <w:jc w:val="center"/>
              <w:rPr>
                <w:sz w:val="20"/>
                <w:szCs w:val="20"/>
                <w:lang w:eastAsia="en-AU"/>
              </w:rPr>
            </w:pPr>
            <w:r w:rsidRPr="00BA18F2">
              <w:rPr>
                <w:sz w:val="20"/>
                <w:szCs w:val="20"/>
                <w:lang w:eastAsia="en-AU"/>
              </w:rPr>
              <w:t>Option C</w:t>
            </w:r>
          </w:p>
        </w:tc>
        <w:tc>
          <w:tcPr>
            <w:tcW w:w="3149" w:type="pct"/>
            <w:tcMar>
              <w:top w:w="0" w:type="dxa"/>
              <w:left w:w="108" w:type="dxa"/>
              <w:bottom w:w="0" w:type="dxa"/>
              <w:right w:w="108" w:type="dxa"/>
            </w:tcMar>
            <w:vAlign w:val="center"/>
            <w:hideMark/>
          </w:tcPr>
          <w:p w14:paraId="037D3A2D"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History of uncontested elections in single-councillor wards</w:t>
            </w:r>
          </w:p>
          <w:p w14:paraId="762D8E29"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 xml:space="preserve">Seven councillors </w:t>
            </w:r>
            <w:proofErr w:type="gramStart"/>
            <w:r w:rsidRPr="00BA18F2">
              <w:rPr>
                <w:rFonts w:eastAsia="Times New Roman"/>
                <w:sz w:val="20"/>
                <w:szCs w:val="20"/>
                <w:lang w:eastAsia="en-AU"/>
              </w:rPr>
              <w:t>is</w:t>
            </w:r>
            <w:proofErr w:type="gramEnd"/>
            <w:r w:rsidRPr="00BA18F2">
              <w:rPr>
                <w:rFonts w:eastAsia="Times New Roman"/>
                <w:sz w:val="20"/>
                <w:szCs w:val="20"/>
                <w:lang w:eastAsia="en-AU"/>
              </w:rPr>
              <w:t xml:space="preserve"> comparable to similar councils</w:t>
            </w:r>
          </w:p>
          <w:p w14:paraId="4CB3B57A"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Supported through submissions</w:t>
            </w:r>
          </w:p>
        </w:tc>
      </w:tr>
      <w:tr w:rsidR="00BA18F2" w:rsidRPr="00BA18F2" w14:paraId="2B53943A" w14:textId="77777777" w:rsidTr="00BA18F2">
        <w:trPr>
          <w:cantSplit/>
        </w:trPr>
        <w:tc>
          <w:tcPr>
            <w:tcW w:w="1089" w:type="pct"/>
            <w:shd w:val="clear" w:color="auto" w:fill="E5EEE1"/>
            <w:tcMar>
              <w:top w:w="0" w:type="dxa"/>
              <w:left w:w="108" w:type="dxa"/>
              <w:bottom w:w="0" w:type="dxa"/>
              <w:right w:w="108" w:type="dxa"/>
            </w:tcMar>
            <w:vAlign w:val="center"/>
          </w:tcPr>
          <w:p w14:paraId="0619E2B5" w14:textId="77777777" w:rsidR="00BA18F2" w:rsidRPr="00BA18F2" w:rsidRDefault="00BA18F2" w:rsidP="00960E94">
            <w:pPr>
              <w:pStyle w:val="Tabletext"/>
              <w:spacing w:line="252" w:lineRule="auto"/>
              <w:rPr>
                <w:rFonts w:eastAsiaTheme="minorHAnsi"/>
                <w:sz w:val="20"/>
                <w:szCs w:val="20"/>
              </w:rPr>
            </w:pPr>
            <w:r w:rsidRPr="00BA18F2">
              <w:rPr>
                <w:sz w:val="20"/>
                <w:szCs w:val="20"/>
              </w:rPr>
              <w:t xml:space="preserve">5 x single-councillor wards </w:t>
            </w:r>
          </w:p>
        </w:tc>
        <w:tc>
          <w:tcPr>
            <w:tcW w:w="762" w:type="pct"/>
            <w:shd w:val="clear" w:color="auto" w:fill="E5EEE1"/>
            <w:tcMar>
              <w:top w:w="0" w:type="dxa"/>
              <w:left w:w="108" w:type="dxa"/>
              <w:bottom w:w="0" w:type="dxa"/>
              <w:right w:w="108" w:type="dxa"/>
            </w:tcMar>
            <w:vAlign w:val="center"/>
          </w:tcPr>
          <w:p w14:paraId="2A1AEBE2" w14:textId="77777777" w:rsidR="00BA18F2" w:rsidRPr="00BA18F2" w:rsidRDefault="00BA18F2" w:rsidP="00960E94">
            <w:pPr>
              <w:pStyle w:val="Tabletext"/>
              <w:spacing w:before="0" w:line="252" w:lineRule="auto"/>
              <w:jc w:val="center"/>
              <w:rPr>
                <w:sz w:val="20"/>
                <w:szCs w:val="20"/>
              </w:rPr>
            </w:pPr>
            <w:r w:rsidRPr="00BA18F2">
              <w:rPr>
                <w:noProof/>
              </w:rPr>
              <w:drawing>
                <wp:anchor distT="0" distB="0" distL="114300" distR="114300" simplePos="0" relativeHeight="251666432" behindDoc="0" locked="0" layoutInCell="1" allowOverlap="1" wp14:anchorId="74C86A18" wp14:editId="479B06EA">
                  <wp:simplePos x="0" y="0"/>
                  <wp:positionH relativeFrom="column">
                    <wp:align>center</wp:align>
                  </wp:positionH>
                  <wp:positionV relativeFrom="line">
                    <wp:align>center</wp:align>
                  </wp:positionV>
                  <wp:extent cx="230400" cy="230400"/>
                  <wp:effectExtent l="0" t="0" r="0" b="0"/>
                  <wp:wrapNone/>
                  <wp:docPr id="14" name="Picture 14" descr="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Shape 13" descr="Clos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00" cy="230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49" w:type="pct"/>
            <w:shd w:val="clear" w:color="auto" w:fill="E5EEE1"/>
            <w:tcMar>
              <w:top w:w="0" w:type="dxa"/>
              <w:left w:w="108" w:type="dxa"/>
              <w:bottom w:w="0" w:type="dxa"/>
              <w:right w:w="108" w:type="dxa"/>
            </w:tcMar>
            <w:vAlign w:val="center"/>
          </w:tcPr>
          <w:p w14:paraId="65D8046E"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Arbitrarily splits Mansfield into two wards (a major geographic community of interest)</w:t>
            </w:r>
          </w:p>
          <w:p w14:paraId="2B2EED2B"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 xml:space="preserve">Little support through submissions and some opposition </w:t>
            </w:r>
          </w:p>
          <w:p w14:paraId="424D521A"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History of uncontested elections in single-councillor wards</w:t>
            </w:r>
          </w:p>
        </w:tc>
      </w:tr>
      <w:tr w:rsidR="00BA18F2" w:rsidRPr="00BA18F2" w14:paraId="774956EC" w14:textId="77777777" w:rsidTr="00BA18F2">
        <w:trPr>
          <w:cantSplit/>
        </w:trPr>
        <w:tc>
          <w:tcPr>
            <w:tcW w:w="1089" w:type="pct"/>
            <w:tcMar>
              <w:top w:w="0" w:type="dxa"/>
              <w:left w:w="108" w:type="dxa"/>
              <w:bottom w:w="0" w:type="dxa"/>
              <w:right w:w="108" w:type="dxa"/>
            </w:tcMar>
            <w:vAlign w:val="center"/>
          </w:tcPr>
          <w:p w14:paraId="406A344F" w14:textId="77777777" w:rsidR="00BA18F2" w:rsidRPr="00BA18F2" w:rsidRDefault="00BA18F2" w:rsidP="00960E94">
            <w:pPr>
              <w:pStyle w:val="Tabletext"/>
              <w:spacing w:line="252" w:lineRule="auto"/>
              <w:rPr>
                <w:rFonts w:eastAsiaTheme="minorHAnsi"/>
                <w:sz w:val="20"/>
                <w:szCs w:val="20"/>
                <w:highlight w:val="green"/>
                <w:lang w:eastAsia="en-AU"/>
              </w:rPr>
            </w:pPr>
            <w:r w:rsidRPr="00BA18F2">
              <w:rPr>
                <w:sz w:val="20"/>
                <w:szCs w:val="20"/>
                <w:lang w:eastAsia="en-AU"/>
              </w:rPr>
              <w:t>6 x single-councillor wards</w:t>
            </w:r>
          </w:p>
        </w:tc>
        <w:tc>
          <w:tcPr>
            <w:tcW w:w="762" w:type="pct"/>
            <w:tcMar>
              <w:top w:w="0" w:type="dxa"/>
              <w:left w:w="108" w:type="dxa"/>
              <w:bottom w:w="0" w:type="dxa"/>
              <w:right w:w="108" w:type="dxa"/>
            </w:tcMar>
            <w:vAlign w:val="center"/>
          </w:tcPr>
          <w:p w14:paraId="4565A03A" w14:textId="77777777" w:rsidR="00BA18F2" w:rsidRPr="00BA18F2" w:rsidRDefault="00BA18F2" w:rsidP="00960E94">
            <w:pPr>
              <w:pStyle w:val="Tabletext"/>
              <w:spacing w:before="0" w:line="252" w:lineRule="auto"/>
              <w:jc w:val="center"/>
              <w:rPr>
                <w:sz w:val="20"/>
                <w:szCs w:val="20"/>
                <w:lang w:eastAsia="en-AU"/>
              </w:rPr>
            </w:pPr>
            <w:r w:rsidRPr="00BA18F2">
              <w:rPr>
                <w:noProof/>
              </w:rPr>
              <w:drawing>
                <wp:anchor distT="0" distB="0" distL="114300" distR="114300" simplePos="0" relativeHeight="251667456" behindDoc="0" locked="0" layoutInCell="1" allowOverlap="1" wp14:anchorId="216523F0" wp14:editId="40207B5D">
                  <wp:simplePos x="0" y="0"/>
                  <wp:positionH relativeFrom="column">
                    <wp:align>center</wp:align>
                  </wp:positionH>
                  <wp:positionV relativeFrom="line">
                    <wp:align>center</wp:align>
                  </wp:positionV>
                  <wp:extent cx="230400" cy="230400"/>
                  <wp:effectExtent l="0" t="0" r="0" b="0"/>
                  <wp:wrapNone/>
                  <wp:docPr id="13" name="Picture 13" descr="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Shape 18" descr="Clos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00" cy="230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49" w:type="pct"/>
            <w:tcMar>
              <w:top w:w="0" w:type="dxa"/>
              <w:left w:w="108" w:type="dxa"/>
              <w:bottom w:w="0" w:type="dxa"/>
              <w:right w:w="108" w:type="dxa"/>
            </w:tcMar>
            <w:vAlign w:val="center"/>
          </w:tcPr>
          <w:p w14:paraId="66C0AFA1"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Current elector data indicates that this electoral structure does not comply with legislated tolerances</w:t>
            </w:r>
          </w:p>
          <w:p w14:paraId="091E962C"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 xml:space="preserve">Little support through submissions and some opposition </w:t>
            </w:r>
          </w:p>
          <w:p w14:paraId="7573D1ED"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History of uncontested elections in single-councillor wards</w:t>
            </w:r>
          </w:p>
        </w:tc>
      </w:tr>
      <w:tr w:rsidR="00BA18F2" w:rsidRPr="00BA18F2" w14:paraId="49906C9E" w14:textId="77777777" w:rsidTr="00BA18F2">
        <w:trPr>
          <w:cantSplit/>
        </w:trPr>
        <w:tc>
          <w:tcPr>
            <w:tcW w:w="1089" w:type="pct"/>
            <w:tcBorders>
              <w:bottom w:val="single" w:sz="4" w:space="0" w:color="auto"/>
            </w:tcBorders>
            <w:shd w:val="clear" w:color="auto" w:fill="E5EEE1"/>
            <w:tcMar>
              <w:top w:w="0" w:type="dxa"/>
              <w:left w:w="108" w:type="dxa"/>
              <w:bottom w:w="0" w:type="dxa"/>
              <w:right w:w="108" w:type="dxa"/>
            </w:tcMar>
            <w:vAlign w:val="center"/>
            <w:hideMark/>
          </w:tcPr>
          <w:p w14:paraId="5398963E" w14:textId="77777777" w:rsidR="00BA18F2" w:rsidRPr="00BA18F2" w:rsidRDefault="00BA18F2" w:rsidP="00960E94">
            <w:pPr>
              <w:pStyle w:val="Tabletext"/>
              <w:spacing w:line="252" w:lineRule="auto"/>
              <w:rPr>
                <w:rFonts w:eastAsiaTheme="minorHAnsi"/>
                <w:sz w:val="20"/>
                <w:szCs w:val="20"/>
                <w:lang w:eastAsia="en-AU"/>
              </w:rPr>
            </w:pPr>
            <w:r w:rsidRPr="00BA18F2">
              <w:rPr>
                <w:sz w:val="20"/>
                <w:szCs w:val="20"/>
                <w:lang w:eastAsia="en-AU"/>
              </w:rPr>
              <w:t>2 x two-councillor wards</w:t>
            </w:r>
          </w:p>
          <w:p w14:paraId="1FC8A1C4" w14:textId="77777777" w:rsidR="00BA18F2" w:rsidRPr="00BA18F2" w:rsidRDefault="00BA18F2" w:rsidP="00960E94">
            <w:pPr>
              <w:pStyle w:val="Tabletext"/>
              <w:spacing w:line="252" w:lineRule="auto"/>
              <w:rPr>
                <w:sz w:val="20"/>
                <w:szCs w:val="20"/>
                <w:lang w:eastAsia="en-AU"/>
              </w:rPr>
            </w:pPr>
            <w:r w:rsidRPr="00BA18F2">
              <w:rPr>
                <w:sz w:val="20"/>
                <w:szCs w:val="20"/>
                <w:lang w:eastAsia="en-AU"/>
              </w:rPr>
              <w:t>1 x three-councillor ward</w:t>
            </w:r>
          </w:p>
        </w:tc>
        <w:tc>
          <w:tcPr>
            <w:tcW w:w="762" w:type="pct"/>
            <w:tcBorders>
              <w:bottom w:val="single" w:sz="4" w:space="0" w:color="auto"/>
            </w:tcBorders>
            <w:shd w:val="clear" w:color="auto" w:fill="E5EEE1"/>
            <w:tcMar>
              <w:top w:w="0" w:type="dxa"/>
              <w:left w:w="108" w:type="dxa"/>
              <w:bottom w:w="0" w:type="dxa"/>
              <w:right w:w="108" w:type="dxa"/>
            </w:tcMar>
            <w:vAlign w:val="center"/>
          </w:tcPr>
          <w:p w14:paraId="6EF29C7D" w14:textId="77777777" w:rsidR="00BA18F2" w:rsidRPr="00BA18F2" w:rsidRDefault="00BA18F2" w:rsidP="00960E94">
            <w:pPr>
              <w:pStyle w:val="Tabletext"/>
              <w:spacing w:before="0" w:line="252" w:lineRule="auto"/>
              <w:jc w:val="center"/>
              <w:rPr>
                <w:sz w:val="20"/>
                <w:szCs w:val="20"/>
                <w:lang w:eastAsia="en-AU"/>
              </w:rPr>
            </w:pPr>
            <w:r w:rsidRPr="00BA18F2">
              <w:rPr>
                <w:noProof/>
              </w:rPr>
              <w:drawing>
                <wp:anchor distT="0" distB="0" distL="114300" distR="114300" simplePos="0" relativeHeight="251668480" behindDoc="0" locked="0" layoutInCell="1" allowOverlap="1" wp14:anchorId="39297C12" wp14:editId="07899DDA">
                  <wp:simplePos x="0" y="0"/>
                  <wp:positionH relativeFrom="column">
                    <wp:align>center</wp:align>
                  </wp:positionH>
                  <wp:positionV relativeFrom="line">
                    <wp:align>center</wp:align>
                  </wp:positionV>
                  <wp:extent cx="230400" cy="230400"/>
                  <wp:effectExtent l="0" t="0" r="0" b="0"/>
                  <wp:wrapNone/>
                  <wp:docPr id="12" name="Picture 12" descr="Clos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Freeform: Shape 19" descr="Close"/>
                          <pic:cNvPicPr>
                            <a:picLocks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0400" cy="230400"/>
                          </a:xfrm>
                          <a:prstGeom prst="rect">
                            <a:avLst/>
                          </a:prstGeom>
                          <a:noFill/>
                        </pic:spPr>
                      </pic:pic>
                    </a:graphicData>
                  </a:graphic>
                  <wp14:sizeRelH relativeFrom="margin">
                    <wp14:pctWidth>0</wp14:pctWidth>
                  </wp14:sizeRelH>
                  <wp14:sizeRelV relativeFrom="margin">
                    <wp14:pctHeight>0</wp14:pctHeight>
                  </wp14:sizeRelV>
                </wp:anchor>
              </w:drawing>
            </w:r>
          </w:p>
        </w:tc>
        <w:tc>
          <w:tcPr>
            <w:tcW w:w="3149" w:type="pct"/>
            <w:tcBorders>
              <w:bottom w:val="single" w:sz="4" w:space="0" w:color="auto"/>
            </w:tcBorders>
            <w:shd w:val="clear" w:color="auto" w:fill="E5EEE1"/>
            <w:tcMar>
              <w:top w:w="0" w:type="dxa"/>
              <w:left w:w="108" w:type="dxa"/>
              <w:bottom w:w="0" w:type="dxa"/>
              <w:right w:w="108" w:type="dxa"/>
            </w:tcMar>
            <w:vAlign w:val="center"/>
          </w:tcPr>
          <w:p w14:paraId="6C6A61C4"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 xml:space="preserve">Geographic communities of interest are not clearly reflected in wards </w:t>
            </w:r>
          </w:p>
          <w:p w14:paraId="48358DDF" w14:textId="77777777" w:rsidR="00BA18F2" w:rsidRPr="00BA18F2" w:rsidRDefault="00BA18F2" w:rsidP="00960E94">
            <w:pPr>
              <w:pStyle w:val="Tabletext"/>
              <w:numPr>
                <w:ilvl w:val="0"/>
                <w:numId w:val="15"/>
              </w:numPr>
              <w:spacing w:line="252" w:lineRule="auto"/>
              <w:rPr>
                <w:rFonts w:eastAsia="Times New Roman"/>
                <w:sz w:val="20"/>
                <w:szCs w:val="20"/>
                <w:lang w:eastAsia="en-AU"/>
              </w:rPr>
            </w:pPr>
            <w:r w:rsidRPr="00BA18F2">
              <w:rPr>
                <w:rFonts w:eastAsia="Times New Roman"/>
                <w:sz w:val="20"/>
                <w:szCs w:val="20"/>
                <w:lang w:eastAsia="en-AU"/>
              </w:rPr>
              <w:t>History of uncontested elections</w:t>
            </w:r>
          </w:p>
        </w:tc>
      </w:tr>
    </w:tbl>
    <w:p w14:paraId="59942C2F" w14:textId="53E956C4" w:rsidR="00E64CE9" w:rsidRPr="00F64E5F" w:rsidRDefault="00E62ACC" w:rsidP="000576D7">
      <w:pPr>
        <w:pStyle w:val="BodyText"/>
        <w:spacing w:before="240"/>
      </w:pPr>
      <w:r>
        <w:t xml:space="preserve">In the preliminary report, </w:t>
      </w:r>
      <w:r w:rsidR="008D0100">
        <w:t>t</w:t>
      </w:r>
      <w:r w:rsidR="00E64CE9" w:rsidRPr="006B71FE">
        <w:t>he VEC observed that</w:t>
      </w:r>
      <w:r>
        <w:t xml:space="preserve"> </w:t>
      </w:r>
      <w:r w:rsidR="00E64CE9" w:rsidRPr="006B71FE">
        <w:t xml:space="preserve">there has been a consistent pattern of low candidate numbers and uncontested wards at </w:t>
      </w:r>
      <w:r w:rsidR="00494D08">
        <w:t xml:space="preserve">general </w:t>
      </w:r>
      <w:r w:rsidR="00E64CE9" w:rsidRPr="006B71FE">
        <w:t>elections for Mansfield Shire Council</w:t>
      </w:r>
      <w:r>
        <w:t xml:space="preserve"> </w:t>
      </w:r>
      <w:r w:rsidRPr="006B71FE">
        <w:t>since the last representation review in 2007</w:t>
      </w:r>
      <w:r w:rsidR="00E64CE9" w:rsidRPr="006B71FE">
        <w:t xml:space="preserve">. </w:t>
      </w:r>
      <w:r w:rsidR="00E64CE9" w:rsidRPr="00881582">
        <w:t xml:space="preserve">Of particular concern was the 2016 general election, </w:t>
      </w:r>
      <w:r w:rsidR="00E64CE9" w:rsidRPr="00F64E5F">
        <w:t xml:space="preserve">where only five candidates </w:t>
      </w:r>
      <w:proofErr w:type="gramStart"/>
      <w:r w:rsidR="00E64CE9" w:rsidRPr="00F64E5F">
        <w:t>nominated</w:t>
      </w:r>
      <w:proofErr w:type="gramEnd"/>
      <w:r w:rsidR="00E64CE9" w:rsidRPr="00F64E5F">
        <w:t xml:space="preserve"> and all wards were uncontested.</w:t>
      </w:r>
    </w:p>
    <w:p w14:paraId="246FF239" w14:textId="77777777" w:rsidR="00E64CE9" w:rsidRDefault="00E64CE9" w:rsidP="00E64CE9">
      <w:pPr>
        <w:pStyle w:val="BodyText"/>
      </w:pPr>
      <w:r w:rsidRPr="00F64E5F">
        <w:t xml:space="preserve">The VEC also found another major issue with the current electoral structure regarding voter-to-councillor ratios across wards. Although the deviations for all wards are </w:t>
      </w:r>
      <w:r>
        <w:t xml:space="preserve">currently </w:t>
      </w:r>
      <w:r w:rsidRPr="00F64E5F">
        <w:t>within the legislated plus-or-minus 10% range, voter projections indicate that the deviations of two wards (Bonnie Doon Ward and Mansfield Ward) will fall outside of this range before the next scheduled representation review.</w:t>
      </w:r>
      <w:r w:rsidRPr="003E7D4D">
        <w:t xml:space="preserve"> </w:t>
      </w:r>
    </w:p>
    <w:p w14:paraId="75AC44CD" w14:textId="77777777" w:rsidR="00E64CE9" w:rsidRPr="00E74BEE" w:rsidRDefault="00E64CE9" w:rsidP="00E64CE9">
      <w:pPr>
        <w:pStyle w:val="BodyText"/>
      </w:pPr>
      <w:r w:rsidRPr="006150C7">
        <w:t xml:space="preserve">The VEC concluded that, at the very least, adjustments to the current ward boundaries must be made to ensure the existing electoral structure is sustainable into the future. However, </w:t>
      </w:r>
      <w:r>
        <w:t>uneven population growth across the local council area</w:t>
      </w:r>
      <w:r w:rsidRPr="00E74BEE">
        <w:t xml:space="preserve"> </w:t>
      </w:r>
      <w:r>
        <w:t xml:space="preserve">and the geographic </w:t>
      </w:r>
      <w:r w:rsidRPr="00E74BEE">
        <w:t>characteristics of Mansfield Shire</w:t>
      </w:r>
      <w:r>
        <w:t xml:space="preserve"> </w:t>
      </w:r>
      <w:r w:rsidRPr="00E74BEE">
        <w:t xml:space="preserve">make it difficult to establish meaningful ward boundaries while also balancing voter-to-councillor ratios across wards. Because of </w:t>
      </w:r>
      <w:r w:rsidRPr="00E74BEE">
        <w:lastRenderedPageBreak/>
        <w:t xml:space="preserve">these difficulties, as well as the Shire’s history of uncontested elections, the VEC considered both </w:t>
      </w:r>
      <w:proofErr w:type="spellStart"/>
      <w:r w:rsidRPr="00E74BEE">
        <w:t>unsubdivided</w:t>
      </w:r>
      <w:proofErr w:type="spellEnd"/>
      <w:r w:rsidRPr="00E74BEE">
        <w:t xml:space="preserve"> and subdivided electoral structures should be examined during this representation review. </w:t>
      </w:r>
    </w:p>
    <w:p w14:paraId="6CD87357" w14:textId="77777777" w:rsidR="00E64CE9" w:rsidRDefault="00E64CE9" w:rsidP="00E64CE9">
      <w:pPr>
        <w:pStyle w:val="BodyText"/>
      </w:pPr>
      <w:r w:rsidRPr="00882C64">
        <w:t xml:space="preserve">The VEC explored possible electoral structures based solely on multi-councillor wards or single-councillor wards, as well as mixed electoral structures consisting of both multi- and single-councillor wards. </w:t>
      </w:r>
    </w:p>
    <w:p w14:paraId="46CDCF02" w14:textId="77777777" w:rsidR="00E64CE9" w:rsidRDefault="00E64CE9" w:rsidP="00E64CE9">
      <w:pPr>
        <w:pStyle w:val="BodyText"/>
      </w:pPr>
      <w:r>
        <w:t xml:space="preserve">In response to one submission, the VEC modelled an electoral structure consisting of seven councillors and three multi-councillor wards but found that the arrangement of wards was less representative of geographic communities than the existing electoral structure. The VEC also </w:t>
      </w:r>
      <w:r w:rsidRPr="00D83F4F">
        <w:t>consider</w:t>
      </w:r>
      <w:r>
        <w:t>ed</w:t>
      </w:r>
      <w:r w:rsidRPr="00D83F4F">
        <w:t xml:space="preserve"> there </w:t>
      </w:r>
      <w:r>
        <w:t xml:space="preserve">to be </w:t>
      </w:r>
      <w:r w:rsidRPr="00D83F4F">
        <w:t xml:space="preserve">a significant risk of uncontested and potentially failed future elections for Mansfield Shire Council if a subdivided electoral structure with seven councillors </w:t>
      </w:r>
      <w:r>
        <w:t>was</w:t>
      </w:r>
      <w:r w:rsidRPr="00D83F4F">
        <w:t xml:space="preserve"> introduced. </w:t>
      </w:r>
      <w:r>
        <w:t xml:space="preserve">For these reasons, </w:t>
      </w:r>
      <w:r w:rsidRPr="00D83F4F">
        <w:t xml:space="preserve">the VEC </w:t>
      </w:r>
      <w:r>
        <w:t>did</w:t>
      </w:r>
      <w:r w:rsidRPr="00D83F4F">
        <w:t xml:space="preserve"> not put this model forward as an option for further consultation</w:t>
      </w:r>
      <w:r>
        <w:t xml:space="preserve">. </w:t>
      </w:r>
    </w:p>
    <w:p w14:paraId="608B6A0C" w14:textId="7248D4D2" w:rsidR="00E64CE9" w:rsidRDefault="00E64CE9" w:rsidP="00E64CE9">
      <w:pPr>
        <w:pStyle w:val="BodyText"/>
      </w:pPr>
      <w:r>
        <w:t>T</w:t>
      </w:r>
      <w:r w:rsidRPr="00035DAC">
        <w:t xml:space="preserve">he VEC considered </w:t>
      </w:r>
      <w:proofErr w:type="gramStart"/>
      <w:r>
        <w:t>a number of</w:t>
      </w:r>
      <w:proofErr w:type="gramEnd"/>
      <w:r>
        <w:t xml:space="preserve"> </w:t>
      </w:r>
      <w:r w:rsidRPr="00035DAC">
        <w:t>different single-councillor ward arrangements</w:t>
      </w:r>
      <w:r>
        <w:t xml:space="preserve"> in response to two submissions.</w:t>
      </w:r>
      <w:r w:rsidRPr="00035DAC">
        <w:t xml:space="preserve"> </w:t>
      </w:r>
      <w:r w:rsidR="00086730">
        <w:t>However, d</w:t>
      </w:r>
      <w:r w:rsidRPr="00035DAC">
        <w:t xml:space="preserve">ue to the need to balance voter-to-councillor ratios across wards, </w:t>
      </w:r>
      <w:r>
        <w:t xml:space="preserve">single-councillor ward </w:t>
      </w:r>
      <w:r w:rsidRPr="001E4A9D">
        <w:t>model</w:t>
      </w:r>
      <w:r>
        <w:t>s</w:t>
      </w:r>
      <w:r w:rsidRPr="001E4A9D">
        <w:t xml:space="preserve"> </w:t>
      </w:r>
      <w:r>
        <w:t xml:space="preserve">either </w:t>
      </w:r>
      <w:r w:rsidRPr="001E4A9D">
        <w:t>arbitrarily split Mansfield into two separate wards</w:t>
      </w:r>
      <w:r>
        <w:t xml:space="preserve"> or resulted in a very small Mansfield ward that excluded the outskirts of the town. T</w:t>
      </w:r>
      <w:r w:rsidRPr="00D52C24">
        <w:t>he VEC found that the community residing in the town of Mansfield share</w:t>
      </w:r>
      <w:r>
        <w:t>d</w:t>
      </w:r>
      <w:r w:rsidRPr="00D52C24">
        <w:t xml:space="preserve"> a strong interest in the </w:t>
      </w:r>
      <w:proofErr w:type="gramStart"/>
      <w:r w:rsidRPr="00D52C24">
        <w:t>town as a whole</w:t>
      </w:r>
      <w:r>
        <w:t xml:space="preserve">, </w:t>
      </w:r>
      <w:r w:rsidR="00D80F37">
        <w:t>so</w:t>
      </w:r>
      <w:proofErr w:type="gramEnd"/>
      <w:r w:rsidRPr="00D52C24">
        <w:t xml:space="preserve"> electoral structures based purely on single-councillor wards were found to be inappropriate for Mansfield Shire Council</w:t>
      </w:r>
      <w:r>
        <w:t>.</w:t>
      </w:r>
    </w:p>
    <w:p w14:paraId="5F7044E5" w14:textId="77777777" w:rsidR="00E64CE9" w:rsidRPr="0033431A" w:rsidRDefault="00E64CE9" w:rsidP="00E64CE9">
      <w:pPr>
        <w:pStyle w:val="BodyText"/>
      </w:pPr>
      <w:r w:rsidRPr="00024601">
        <w:t xml:space="preserve">After examining a range of electoral structures, the VEC put forward three preliminary </w:t>
      </w:r>
      <w:r w:rsidRPr="0033431A">
        <w:t>options for public consultation.</w:t>
      </w:r>
    </w:p>
    <w:p w14:paraId="710FECAA" w14:textId="77777777" w:rsidR="00E64CE9" w:rsidRPr="00BA7678" w:rsidRDefault="00E64CE9" w:rsidP="00E64CE9">
      <w:pPr>
        <w:pStyle w:val="BodyText"/>
      </w:pPr>
      <w:r w:rsidRPr="00A46237">
        <w:t xml:space="preserve">In Option A, the internal boundaries of the current electoral structure were adjusted to balance projected voter-to-councillor ratios across wards. </w:t>
      </w:r>
      <w:r>
        <w:t>The boundary between Bonnie Doon and Tolmie Wards was adjusted.</w:t>
      </w:r>
      <w:r w:rsidRPr="00A46237">
        <w:t xml:space="preserve"> Adjustments were </w:t>
      </w:r>
      <w:r>
        <w:t xml:space="preserve">also </w:t>
      </w:r>
      <w:r w:rsidRPr="00A46237">
        <w:t xml:space="preserve">made to the Mansfield Ward </w:t>
      </w:r>
      <w:r>
        <w:t xml:space="preserve">boundary, </w:t>
      </w:r>
      <w:r w:rsidRPr="00A46237">
        <w:t xml:space="preserve">which balanced voter-to-councillor ratios </w:t>
      </w:r>
      <w:r>
        <w:t xml:space="preserve">while </w:t>
      </w:r>
      <w:r w:rsidRPr="00A46237">
        <w:t xml:space="preserve">also </w:t>
      </w:r>
      <w:r w:rsidRPr="004E3C14">
        <w:t xml:space="preserve">improving representation of the geographic communities to the north and south of the town. Although Option A responded to the support for the existing electoral structure expressed in preliminary submissions and enabled the current system of representation to continue with the least disruption to voters, it did not address the significant issue of uncontested elections. </w:t>
      </w:r>
    </w:p>
    <w:p w14:paraId="0AF7300B" w14:textId="2F8F1D68" w:rsidR="00E64CE9" w:rsidRDefault="00E64CE9" w:rsidP="00E64CE9">
      <w:pPr>
        <w:pStyle w:val="BodyText"/>
      </w:pPr>
      <w:r w:rsidRPr="00252A15">
        <w:t xml:space="preserve">The VEC put forward an </w:t>
      </w:r>
      <w:proofErr w:type="spellStart"/>
      <w:r w:rsidRPr="00252A15">
        <w:t>unsubdivided</w:t>
      </w:r>
      <w:proofErr w:type="spellEnd"/>
      <w:r w:rsidRPr="00252A15">
        <w:t xml:space="preserve"> electoral structure with five councillors as Option B. The VEC considered that Option B would address concerns regarding the current </w:t>
      </w:r>
      <w:r w:rsidRPr="00252A15">
        <w:lastRenderedPageBreak/>
        <w:t xml:space="preserve">electoral structure, </w:t>
      </w:r>
      <w:r>
        <w:t xml:space="preserve">particularly the </w:t>
      </w:r>
      <w:r w:rsidRPr="00252A15">
        <w:t xml:space="preserve">difficulties balancing voter-to-councillor ratios across </w:t>
      </w:r>
      <w:r w:rsidRPr="00424B4D">
        <w:t>wards, the history of uncontested elections, and the risk of failed future elections.</w:t>
      </w:r>
      <w:r>
        <w:t xml:space="preserve"> </w:t>
      </w:r>
      <w:r w:rsidRPr="00424B4D">
        <w:t>The VEC consider</w:t>
      </w:r>
      <w:r>
        <w:t>ed</w:t>
      </w:r>
      <w:r w:rsidRPr="00424B4D">
        <w:t xml:space="preserve"> that an </w:t>
      </w:r>
      <w:proofErr w:type="spellStart"/>
      <w:r w:rsidRPr="00424B4D">
        <w:t>unsubdivided</w:t>
      </w:r>
      <w:proofErr w:type="spellEnd"/>
      <w:r w:rsidRPr="00424B4D">
        <w:t xml:space="preserve"> electoral structure would suit Mansfield Shire’s geographic distribution of voters</w:t>
      </w:r>
      <w:r>
        <w:t xml:space="preserve">. An </w:t>
      </w:r>
      <w:proofErr w:type="spellStart"/>
      <w:r>
        <w:t>unsubdivided</w:t>
      </w:r>
      <w:proofErr w:type="spellEnd"/>
      <w:r>
        <w:t xml:space="preserve"> structure </w:t>
      </w:r>
      <w:r w:rsidR="00136F21">
        <w:t xml:space="preserve">would support </w:t>
      </w:r>
      <w:r w:rsidRPr="00424B4D">
        <w:t>a Shire-wide approach to representation, enabling voters to choose their preferred candidate from across the local council area, providing an opportunity for geographic and non-geographic communities of interest to gain representation</w:t>
      </w:r>
      <w:r w:rsidR="00136F21">
        <w:t>. It would also provide</w:t>
      </w:r>
      <w:r w:rsidRPr="00424B4D">
        <w:t xml:space="preserve"> an opportunity for councillors to equitably share responsibilities and </w:t>
      </w:r>
      <w:proofErr w:type="gramStart"/>
      <w:r w:rsidRPr="00424B4D">
        <w:t>workloads, and</w:t>
      </w:r>
      <w:proofErr w:type="gramEnd"/>
      <w:r w:rsidRPr="00424B4D">
        <w:t xml:space="preserve"> </w:t>
      </w:r>
      <w:r w:rsidR="00136F21">
        <w:t>balance</w:t>
      </w:r>
      <w:r w:rsidR="00136F21" w:rsidRPr="00424B4D">
        <w:t xml:space="preserve"> </w:t>
      </w:r>
      <w:r w:rsidRPr="00424B4D">
        <w:t>the uneven population growth expected for the Shire.</w:t>
      </w:r>
    </w:p>
    <w:p w14:paraId="47FADA41" w14:textId="2F9EB8EE" w:rsidR="00E64CE9" w:rsidRPr="006175DC" w:rsidRDefault="00E64CE9" w:rsidP="00E64CE9">
      <w:pPr>
        <w:pStyle w:val="BodyText"/>
      </w:pPr>
      <w:r>
        <w:t xml:space="preserve">Option C consisted of an </w:t>
      </w:r>
      <w:proofErr w:type="spellStart"/>
      <w:r>
        <w:t>unsubdivided</w:t>
      </w:r>
      <w:proofErr w:type="spellEnd"/>
      <w:r>
        <w:t xml:space="preserve"> electoral structure with seven councillors. </w:t>
      </w:r>
      <w:r w:rsidRPr="00BA6BBF">
        <w:t>Option C offer</w:t>
      </w:r>
      <w:r>
        <w:t>ed</w:t>
      </w:r>
      <w:r w:rsidRPr="00BA6BBF">
        <w:t xml:space="preserve"> the same potential benefits of an </w:t>
      </w:r>
      <w:proofErr w:type="spellStart"/>
      <w:r w:rsidRPr="00BA6BBF">
        <w:t>unsubdivided</w:t>
      </w:r>
      <w:proofErr w:type="spellEnd"/>
      <w:r w:rsidRPr="00BA6BBF">
        <w:t xml:space="preserve"> electoral structure as Option B </w:t>
      </w:r>
      <w:r>
        <w:t>and</w:t>
      </w:r>
      <w:r w:rsidRPr="00BA6BBF">
        <w:t xml:space="preserve"> provid</w:t>
      </w:r>
      <w:r>
        <w:t>ed</w:t>
      </w:r>
      <w:r w:rsidRPr="00BA6BBF">
        <w:t xml:space="preserve"> an opportunity to consider whether the number of councillors in the local council should be increased to seven.</w:t>
      </w:r>
      <w:r>
        <w:t xml:space="preserve"> </w:t>
      </w:r>
      <w:r w:rsidRPr="00BA6BBF">
        <w:t xml:space="preserve">Increasing the number of councillors to seven would bring Mansfield Shire Council in line with other local councils with a similar area and number of </w:t>
      </w:r>
      <w:r w:rsidRPr="006175DC">
        <w:t xml:space="preserve">voters and would also help address any concerns regarding the small number of councillors needed for quorum at Council meetings. The VEC was aware that the risk of uncontested elections occurring in the future may be amplified with an increased number of councillors but considered that this risk would be reduced under an </w:t>
      </w:r>
      <w:proofErr w:type="spellStart"/>
      <w:r w:rsidRPr="006175DC">
        <w:t>unsubdivided</w:t>
      </w:r>
      <w:proofErr w:type="spellEnd"/>
      <w:r w:rsidRPr="006175DC">
        <w:t xml:space="preserve"> electoral structure.</w:t>
      </w:r>
    </w:p>
    <w:p w14:paraId="7D93DBA8" w14:textId="77777777" w:rsidR="00F66E14" w:rsidRPr="00EF4ACB" w:rsidRDefault="00F66E14" w:rsidP="00CA0C12">
      <w:pPr>
        <w:pStyle w:val="Heading3"/>
      </w:pPr>
      <w:r w:rsidRPr="00600603">
        <w:t>Options</w:t>
      </w:r>
    </w:p>
    <w:p w14:paraId="2C5EB963" w14:textId="77777777" w:rsidR="00F66E14" w:rsidRPr="00EF4ACB" w:rsidRDefault="00F66E14" w:rsidP="00CA0C12">
      <w:pPr>
        <w:pStyle w:val="BodyText"/>
      </w:pPr>
      <w:r w:rsidRPr="00600603">
        <w:t>After careful consideration, the VEC put forward the following options:</w:t>
      </w:r>
    </w:p>
    <w:p w14:paraId="48FAE075" w14:textId="77777777" w:rsidR="00CE068C" w:rsidRPr="00405B09" w:rsidRDefault="00CE068C" w:rsidP="00CE068C">
      <w:pPr>
        <w:pStyle w:val="BodyText"/>
        <w:numPr>
          <w:ilvl w:val="0"/>
          <w:numId w:val="3"/>
        </w:numPr>
        <w:rPr>
          <w:b/>
        </w:rPr>
      </w:pPr>
      <w:r w:rsidRPr="00405B09">
        <w:t>Option A (preferred option)</w:t>
      </w:r>
      <w:r w:rsidRPr="00405B09">
        <w:br/>
      </w:r>
      <w:r w:rsidRPr="00405B09">
        <w:rPr>
          <w:b/>
          <w:noProof/>
        </w:rPr>
        <w:t>Mansfield Shire Council</w:t>
      </w:r>
      <w:r w:rsidRPr="00405B09">
        <w:rPr>
          <w:b/>
        </w:rPr>
        <w:t xml:space="preserve"> consist of </w:t>
      </w:r>
      <w:r w:rsidRPr="00405B09">
        <w:rPr>
          <w:b/>
          <w:noProof/>
        </w:rPr>
        <w:t>five councillors elected from four wards</w:t>
      </w:r>
      <w:r w:rsidRPr="00405B09">
        <w:rPr>
          <w:b/>
        </w:rPr>
        <w:t xml:space="preserve">, with adjustments to the current ward boundaries </w:t>
      </w:r>
      <w:r w:rsidRPr="00405B09">
        <w:rPr>
          <w:b/>
          <w:noProof/>
        </w:rPr>
        <w:t>(one two-councillor ward and three single-councillor wards)</w:t>
      </w:r>
      <w:r w:rsidRPr="00405B09">
        <w:rPr>
          <w:b/>
        </w:rPr>
        <w:t>.</w:t>
      </w:r>
    </w:p>
    <w:p w14:paraId="5B81CC02" w14:textId="77777777" w:rsidR="00CE068C" w:rsidRPr="00405B09" w:rsidRDefault="00CE068C" w:rsidP="00CE068C">
      <w:pPr>
        <w:pStyle w:val="BodyText"/>
        <w:numPr>
          <w:ilvl w:val="0"/>
          <w:numId w:val="3"/>
        </w:numPr>
      </w:pPr>
      <w:r w:rsidRPr="00405B09">
        <w:t>Option B (alternative option)</w:t>
      </w:r>
      <w:r w:rsidRPr="00405B09">
        <w:br/>
      </w:r>
      <w:r w:rsidRPr="00405B09">
        <w:rPr>
          <w:b/>
          <w:noProof/>
        </w:rPr>
        <w:t>Mansfield Shire Council</w:t>
      </w:r>
      <w:r w:rsidRPr="00405B09">
        <w:rPr>
          <w:b/>
        </w:rPr>
        <w:t xml:space="preserve"> consist of five councillors elected from an </w:t>
      </w:r>
      <w:proofErr w:type="spellStart"/>
      <w:r w:rsidRPr="00405B09">
        <w:rPr>
          <w:b/>
        </w:rPr>
        <w:t>unsubdivided</w:t>
      </w:r>
      <w:proofErr w:type="spellEnd"/>
      <w:r w:rsidRPr="00405B09">
        <w:rPr>
          <w:b/>
        </w:rPr>
        <w:t xml:space="preserve"> electoral structure.</w:t>
      </w:r>
    </w:p>
    <w:p w14:paraId="1D7C4AF6" w14:textId="77777777" w:rsidR="00CE068C" w:rsidRPr="00504644" w:rsidRDefault="00CE068C" w:rsidP="00CE068C">
      <w:pPr>
        <w:pStyle w:val="BodyText"/>
        <w:numPr>
          <w:ilvl w:val="0"/>
          <w:numId w:val="3"/>
        </w:numPr>
      </w:pPr>
      <w:r w:rsidRPr="00405B09">
        <w:t>Option C (alternative option)</w:t>
      </w:r>
      <w:r w:rsidRPr="00405B09">
        <w:br/>
      </w:r>
      <w:r w:rsidRPr="00405B09">
        <w:rPr>
          <w:b/>
          <w:noProof/>
        </w:rPr>
        <w:t>Mansfield Shire Council</w:t>
      </w:r>
      <w:r w:rsidRPr="00405B09">
        <w:rPr>
          <w:b/>
        </w:rPr>
        <w:t xml:space="preserve"> consist of seven councillors elected from an </w:t>
      </w:r>
      <w:proofErr w:type="spellStart"/>
      <w:r w:rsidRPr="00405B09">
        <w:rPr>
          <w:b/>
        </w:rPr>
        <w:t>unsubdivided</w:t>
      </w:r>
      <w:proofErr w:type="spellEnd"/>
      <w:r w:rsidRPr="00405B09">
        <w:rPr>
          <w:b/>
        </w:rPr>
        <w:t xml:space="preserve"> electoral structure.</w:t>
      </w:r>
    </w:p>
    <w:p w14:paraId="445477DD" w14:textId="77777777" w:rsidR="00F66E14" w:rsidRPr="00EF4ACB" w:rsidRDefault="00F66E14" w:rsidP="00A03179">
      <w:pPr>
        <w:pStyle w:val="Heading1numbered"/>
        <w:rPr>
          <w:rFonts w:ascii="Century Gothic" w:hAnsi="Century Gothic"/>
        </w:rPr>
      </w:pPr>
      <w:r w:rsidRPr="00EF4ACB">
        <w:rPr>
          <w:rFonts w:ascii="Century Gothic" w:hAnsi="Century Gothic"/>
          <w:noProof/>
        </w:rPr>
        <w:br w:type="page"/>
      </w:r>
      <w:bookmarkStart w:id="14" w:name="_Toc32583994"/>
      <w:r w:rsidRPr="00EF4ACB">
        <w:rPr>
          <w:rFonts w:ascii="Century Gothic" w:hAnsi="Century Gothic"/>
          <w:noProof/>
        </w:rPr>
        <w:lastRenderedPageBreak/>
        <w:t>Public response</w:t>
      </w:r>
      <w:bookmarkEnd w:id="14"/>
      <w:r w:rsidRPr="00EF4ACB">
        <w:rPr>
          <w:rFonts w:ascii="Century Gothic" w:hAnsi="Century Gothic"/>
        </w:rPr>
        <w:t xml:space="preserve"> </w:t>
      </w:r>
    </w:p>
    <w:p w14:paraId="77873179" w14:textId="77777777" w:rsidR="00F66E14" w:rsidRPr="00EF4ACB" w:rsidRDefault="00F66E14" w:rsidP="007D5189">
      <w:pPr>
        <w:pStyle w:val="Heading2numbered"/>
      </w:pPr>
      <w:bookmarkStart w:id="15" w:name="_Toc32583995"/>
      <w:r w:rsidRPr="00EF4ACB">
        <w:t>Response submissions</w:t>
      </w:r>
      <w:bookmarkEnd w:id="15"/>
    </w:p>
    <w:p w14:paraId="1881E725" w14:textId="28267003" w:rsidR="00F66E14" w:rsidRPr="00EF4ACB" w:rsidRDefault="00F66E14" w:rsidP="00F26E1C">
      <w:pPr>
        <w:pStyle w:val="BodyText"/>
      </w:pPr>
      <w:r w:rsidRPr="00EF4ACB">
        <w:t xml:space="preserve">The VEC accepted </w:t>
      </w:r>
      <w:r w:rsidRPr="00EE1E95">
        <w:t xml:space="preserve">submissions responding to the preliminary report from </w:t>
      </w:r>
      <w:r w:rsidRPr="00EE1E95">
        <w:rPr>
          <w:noProof/>
        </w:rPr>
        <w:t>Wednesday 29 January 2020</w:t>
      </w:r>
      <w:r w:rsidRPr="00EE1E95">
        <w:t xml:space="preserve"> until 5.00 pm on </w:t>
      </w:r>
      <w:r w:rsidRPr="00EE1E95">
        <w:rPr>
          <w:noProof/>
        </w:rPr>
        <w:t>Wednesday 26 February 2020</w:t>
      </w:r>
      <w:r w:rsidRPr="00EE1E95">
        <w:t>. The VEC</w:t>
      </w:r>
      <w:r w:rsidRPr="00EF4ACB">
        <w:t xml:space="preserve"> received </w:t>
      </w:r>
      <w:r w:rsidR="000C74B3">
        <w:t xml:space="preserve">eight </w:t>
      </w:r>
      <w:r w:rsidRPr="00EF4ACB">
        <w:t xml:space="preserve">response </w:t>
      </w:r>
      <w:r w:rsidRPr="009D5F4E">
        <w:t xml:space="preserve">submissions. A list of people who made a response submission can be found in Appendix 1. </w:t>
      </w:r>
      <w:r w:rsidR="0044553D">
        <w:t>The table below</w:t>
      </w:r>
      <w:r w:rsidRPr="009D5F4E">
        <w:t xml:space="preserve"> indicates the</w:t>
      </w:r>
      <w:r w:rsidRPr="00EF4ACB">
        <w:t xml:space="preserve"> level of support for each option.</w:t>
      </w:r>
    </w:p>
    <w:tbl>
      <w:tblPr>
        <w:tblW w:w="9356" w:type="dxa"/>
        <w:jc w:val="center"/>
        <w:tblBorders>
          <w:bottom w:val="single" w:sz="4" w:space="0" w:color="auto"/>
        </w:tblBorders>
        <w:tblLayout w:type="fixed"/>
        <w:tblLook w:val="04A0" w:firstRow="1" w:lastRow="0" w:firstColumn="1" w:lastColumn="0" w:noHBand="0" w:noVBand="1"/>
      </w:tblPr>
      <w:tblGrid>
        <w:gridCol w:w="3118"/>
        <w:gridCol w:w="3119"/>
        <w:gridCol w:w="3119"/>
      </w:tblGrid>
      <w:tr w:rsidR="00F66E14" w:rsidRPr="00EF4ACB" w14:paraId="269356C4" w14:textId="77777777" w:rsidTr="004A72FE">
        <w:trPr>
          <w:cantSplit/>
          <w:trHeight w:val="627"/>
          <w:jc w:val="center"/>
        </w:trPr>
        <w:tc>
          <w:tcPr>
            <w:tcW w:w="9356" w:type="dxa"/>
            <w:gridSpan w:val="3"/>
            <w:tcBorders>
              <w:top w:val="single" w:sz="8" w:space="0" w:color="auto"/>
              <w:left w:val="nil"/>
              <w:bottom w:val="single" w:sz="8" w:space="0" w:color="auto"/>
              <w:right w:val="nil"/>
            </w:tcBorders>
            <w:shd w:val="clear" w:color="auto" w:fill="auto"/>
            <w:vAlign w:val="center"/>
          </w:tcPr>
          <w:p w14:paraId="4A8D3767" w14:textId="77777777" w:rsidR="00F66E14" w:rsidRPr="00EF4ACB" w:rsidRDefault="006D33FA" w:rsidP="0093250D">
            <w:pPr>
              <w:pStyle w:val="Tableheading"/>
              <w:jc w:val="center"/>
              <w:rPr>
                <w:bCs/>
              </w:rPr>
            </w:pPr>
            <w:r>
              <w:rPr>
                <w:bCs/>
              </w:rPr>
              <w:t xml:space="preserve">Table </w:t>
            </w:r>
            <w:r w:rsidR="002D3766">
              <w:rPr>
                <w:bCs/>
              </w:rPr>
              <w:t>2</w:t>
            </w:r>
            <w:r>
              <w:rPr>
                <w:bCs/>
              </w:rPr>
              <w:t xml:space="preserve">: </w:t>
            </w:r>
            <w:r w:rsidR="00F66E14" w:rsidRPr="00EF4ACB">
              <w:rPr>
                <w:bCs/>
              </w:rPr>
              <w:t>Preferences expressed in response submissions</w:t>
            </w:r>
          </w:p>
        </w:tc>
      </w:tr>
      <w:tr w:rsidR="00F66E14" w:rsidRPr="00EF4ACB" w14:paraId="1D7562CD" w14:textId="77777777" w:rsidTr="0093250D">
        <w:trPr>
          <w:cantSplit/>
          <w:trHeight w:val="403"/>
          <w:jc w:val="center"/>
        </w:trPr>
        <w:tc>
          <w:tcPr>
            <w:tcW w:w="3118" w:type="dxa"/>
            <w:tcBorders>
              <w:top w:val="nil"/>
              <w:left w:val="nil"/>
              <w:bottom w:val="nil"/>
              <w:right w:val="nil"/>
              <w:tl2br w:val="nil"/>
              <w:tr2bl w:val="nil"/>
            </w:tcBorders>
            <w:shd w:val="clear" w:color="auto" w:fill="E5EEE1"/>
            <w:vAlign w:val="center"/>
          </w:tcPr>
          <w:p w14:paraId="7D7469B4" w14:textId="77777777" w:rsidR="00F66E14" w:rsidRPr="00EF4ACB" w:rsidRDefault="00F66E14" w:rsidP="00C32CF8">
            <w:pPr>
              <w:pStyle w:val="Tabletext"/>
              <w:jc w:val="center"/>
              <w:rPr>
                <w:b/>
              </w:rPr>
            </w:pPr>
            <w:r w:rsidRPr="00EF4ACB">
              <w:rPr>
                <w:b/>
              </w:rPr>
              <w:t>Option A</w:t>
            </w:r>
          </w:p>
        </w:tc>
        <w:tc>
          <w:tcPr>
            <w:tcW w:w="3119" w:type="dxa"/>
            <w:tcBorders>
              <w:top w:val="nil"/>
              <w:left w:val="nil"/>
              <w:bottom w:val="nil"/>
              <w:right w:val="nil"/>
              <w:tl2br w:val="nil"/>
              <w:tr2bl w:val="nil"/>
            </w:tcBorders>
            <w:shd w:val="clear" w:color="auto" w:fill="E5EEE1"/>
            <w:vAlign w:val="center"/>
          </w:tcPr>
          <w:p w14:paraId="760809AF" w14:textId="77777777" w:rsidR="00F66E14" w:rsidRPr="00EF4ACB" w:rsidRDefault="00F66E14" w:rsidP="00C32CF8">
            <w:pPr>
              <w:pStyle w:val="Tabletext"/>
              <w:jc w:val="center"/>
              <w:rPr>
                <w:b/>
              </w:rPr>
            </w:pPr>
            <w:r w:rsidRPr="00EF4ACB">
              <w:rPr>
                <w:b/>
              </w:rPr>
              <w:t>Option B</w:t>
            </w:r>
          </w:p>
        </w:tc>
        <w:tc>
          <w:tcPr>
            <w:tcW w:w="3119" w:type="dxa"/>
            <w:tcBorders>
              <w:top w:val="nil"/>
              <w:left w:val="nil"/>
              <w:bottom w:val="nil"/>
              <w:right w:val="nil"/>
              <w:tl2br w:val="nil"/>
              <w:tr2bl w:val="nil"/>
            </w:tcBorders>
            <w:shd w:val="clear" w:color="auto" w:fill="E5EEE1"/>
          </w:tcPr>
          <w:p w14:paraId="2D6882F9" w14:textId="7B75E0BC" w:rsidR="00F66E14" w:rsidRPr="00EF4ACB" w:rsidRDefault="00372ADE" w:rsidP="00C32CF8">
            <w:pPr>
              <w:pStyle w:val="Tabletext"/>
              <w:jc w:val="center"/>
              <w:rPr>
                <w:b/>
              </w:rPr>
            </w:pPr>
            <w:r>
              <w:rPr>
                <w:b/>
              </w:rPr>
              <w:t>Option C</w:t>
            </w:r>
          </w:p>
        </w:tc>
      </w:tr>
      <w:tr w:rsidR="00F66E14" w:rsidRPr="00EF4ACB" w14:paraId="3374F15E" w14:textId="77777777" w:rsidTr="0093250D">
        <w:trPr>
          <w:cantSplit/>
          <w:trHeight w:val="463"/>
          <w:jc w:val="center"/>
        </w:trPr>
        <w:tc>
          <w:tcPr>
            <w:tcW w:w="3118" w:type="dxa"/>
            <w:shd w:val="clear" w:color="auto" w:fill="auto"/>
            <w:vAlign w:val="center"/>
          </w:tcPr>
          <w:p w14:paraId="3B5C0BDE" w14:textId="77777777" w:rsidR="00F66E14" w:rsidRPr="00EF4ACB" w:rsidRDefault="00C643AE" w:rsidP="00C32CF8">
            <w:pPr>
              <w:pStyle w:val="Tabletext"/>
              <w:jc w:val="center"/>
              <w:rPr>
                <w:szCs w:val="20"/>
              </w:rPr>
            </w:pPr>
            <w:r>
              <w:rPr>
                <w:szCs w:val="20"/>
              </w:rPr>
              <w:t>4</w:t>
            </w:r>
          </w:p>
        </w:tc>
        <w:tc>
          <w:tcPr>
            <w:tcW w:w="3119" w:type="dxa"/>
            <w:shd w:val="clear" w:color="auto" w:fill="auto"/>
            <w:vAlign w:val="center"/>
          </w:tcPr>
          <w:p w14:paraId="554022BB" w14:textId="77777777" w:rsidR="00F66E14" w:rsidRPr="00EF4ACB" w:rsidRDefault="00C643AE" w:rsidP="00C32CF8">
            <w:pPr>
              <w:pStyle w:val="Tabletext"/>
              <w:jc w:val="center"/>
              <w:rPr>
                <w:szCs w:val="20"/>
              </w:rPr>
            </w:pPr>
            <w:r>
              <w:rPr>
                <w:szCs w:val="20"/>
              </w:rPr>
              <w:t>1*</w:t>
            </w:r>
          </w:p>
        </w:tc>
        <w:tc>
          <w:tcPr>
            <w:tcW w:w="3119" w:type="dxa"/>
          </w:tcPr>
          <w:p w14:paraId="18814D08" w14:textId="77777777" w:rsidR="00F66E14" w:rsidRPr="00EF4ACB" w:rsidRDefault="00C643AE" w:rsidP="00C32CF8">
            <w:pPr>
              <w:pStyle w:val="Tabletext"/>
              <w:jc w:val="center"/>
              <w:rPr>
                <w:szCs w:val="20"/>
              </w:rPr>
            </w:pPr>
            <w:r>
              <w:rPr>
                <w:szCs w:val="20"/>
              </w:rPr>
              <w:t>4*</w:t>
            </w:r>
          </w:p>
        </w:tc>
      </w:tr>
    </w:tbl>
    <w:p w14:paraId="285C653D" w14:textId="77777777" w:rsidR="000A7532" w:rsidRPr="004554D2" w:rsidRDefault="000A7532" w:rsidP="000A7532">
      <w:pPr>
        <w:spacing w:before="120" w:after="240"/>
        <w:rPr>
          <w:rFonts w:ascii="Century Gothic" w:hAnsi="Century Gothic"/>
          <w:sz w:val="18"/>
          <w:szCs w:val="18"/>
        </w:rPr>
      </w:pPr>
      <w:r w:rsidRPr="00DC3747">
        <w:rPr>
          <w:rFonts w:ascii="Century Gothic" w:hAnsi="Century Gothic"/>
          <w:sz w:val="18"/>
          <w:szCs w:val="18"/>
        </w:rPr>
        <w:t xml:space="preserve">* </w:t>
      </w:r>
      <w:r>
        <w:rPr>
          <w:rFonts w:ascii="Century Gothic" w:hAnsi="Century Gothic"/>
          <w:sz w:val="18"/>
          <w:szCs w:val="18"/>
        </w:rPr>
        <w:t>One submitter supported both Option B and Option C</w:t>
      </w:r>
      <w:r w:rsidRPr="00DC3747">
        <w:rPr>
          <w:rFonts w:ascii="Century Gothic" w:hAnsi="Century Gothic"/>
          <w:sz w:val="18"/>
          <w:szCs w:val="18"/>
        </w:rPr>
        <w:t>.</w:t>
      </w:r>
    </w:p>
    <w:p w14:paraId="7BA49093" w14:textId="299C0D7C" w:rsidR="003A5533" w:rsidRDefault="005977FB" w:rsidP="00DF2F06">
      <w:pPr>
        <w:pStyle w:val="BodyText"/>
        <w:spacing w:before="240"/>
      </w:pPr>
      <w:r w:rsidRPr="00C3207F">
        <w:t>Four</w:t>
      </w:r>
      <w:r w:rsidR="00DF2F06" w:rsidRPr="00C3207F">
        <w:t xml:space="preserve"> response submissions supported Option A. The main argument put forward in favour of Option A was that this model retained the existing electoral structure</w:t>
      </w:r>
      <w:r w:rsidR="005521A4" w:rsidRPr="00C3207F">
        <w:t xml:space="preserve">, albeit with minor boundary changes. Supporters of Option A argued that the current electoral structure has </w:t>
      </w:r>
      <w:r w:rsidR="00DF2F06" w:rsidRPr="00C3207F">
        <w:t>work</w:t>
      </w:r>
      <w:r w:rsidR="005521A4" w:rsidRPr="00C3207F">
        <w:t>ed</w:t>
      </w:r>
      <w:r w:rsidR="00DF2F06" w:rsidRPr="00C3207F">
        <w:t xml:space="preserve"> well</w:t>
      </w:r>
      <w:r w:rsidR="005521A4" w:rsidRPr="00C3207F">
        <w:t xml:space="preserve"> for the Shire, and that a subdivided </w:t>
      </w:r>
      <w:r w:rsidR="00494D08">
        <w:t xml:space="preserve">electoral </w:t>
      </w:r>
      <w:r w:rsidR="005521A4" w:rsidRPr="00C3207F">
        <w:t xml:space="preserve">structure ensures that the needs of different areas within the Shire </w:t>
      </w:r>
      <w:r w:rsidR="00C3207F" w:rsidRPr="00C3207F">
        <w:t xml:space="preserve">are </w:t>
      </w:r>
      <w:r w:rsidR="005521A4" w:rsidRPr="00C3207F">
        <w:t>represented</w:t>
      </w:r>
      <w:r w:rsidR="00C3207F" w:rsidRPr="00C3207F">
        <w:t xml:space="preserve"> on </w:t>
      </w:r>
      <w:r w:rsidR="00B0464E">
        <w:t xml:space="preserve">the </w:t>
      </w:r>
      <w:r w:rsidR="00C3207F" w:rsidRPr="00C3207F">
        <w:t>Council</w:t>
      </w:r>
      <w:r w:rsidR="005521A4" w:rsidRPr="00C3207F">
        <w:t>.</w:t>
      </w:r>
      <w:r w:rsidR="003A5533">
        <w:t xml:space="preserve"> </w:t>
      </w:r>
      <w:r w:rsidR="00DE112D">
        <w:t xml:space="preserve">Two submitters also </w:t>
      </w:r>
      <w:r w:rsidR="005B3214">
        <w:t>supported</w:t>
      </w:r>
      <w:r w:rsidR="00DE112D">
        <w:t xml:space="preserve"> Option A </w:t>
      </w:r>
      <w:r w:rsidR="005B3214">
        <w:t xml:space="preserve">in the belief that this electoral structure </w:t>
      </w:r>
      <w:r w:rsidR="00DE112D">
        <w:t>offered the best chance of gaining locally based representatives</w:t>
      </w:r>
      <w:r w:rsidR="00CF74FD">
        <w:t xml:space="preserve">. These submitters argued that </w:t>
      </w:r>
      <w:r w:rsidR="006F4A32">
        <w:t xml:space="preserve">local </w:t>
      </w:r>
      <w:r w:rsidR="00620CEC">
        <w:t>councillors were</w:t>
      </w:r>
      <w:r w:rsidR="00D7285C">
        <w:t xml:space="preserve"> easier </w:t>
      </w:r>
      <w:r w:rsidR="00636D77">
        <w:t xml:space="preserve">for locals </w:t>
      </w:r>
      <w:r w:rsidR="00D7285C">
        <w:t>to relate to</w:t>
      </w:r>
      <w:r w:rsidR="00761E6B">
        <w:t xml:space="preserve">, were </w:t>
      </w:r>
      <w:r w:rsidR="00E24168">
        <w:t xml:space="preserve">more </w:t>
      </w:r>
      <w:r w:rsidR="00620CEC">
        <w:t>likely to have a knowledge of their local area</w:t>
      </w:r>
      <w:r w:rsidR="00636D77">
        <w:t xml:space="preserve"> and were important for rural councils such as Mansfield Shire</w:t>
      </w:r>
      <w:r w:rsidR="00620CEC">
        <w:t xml:space="preserve">. </w:t>
      </w:r>
      <w:r w:rsidR="009C58F5">
        <w:t>One submitter also supported</w:t>
      </w:r>
      <w:r w:rsidR="007D1664">
        <w:t xml:space="preserve"> the</w:t>
      </w:r>
      <w:r w:rsidR="009C58F5">
        <w:t xml:space="preserve"> adjusted boundaries of Option A, arguing that</w:t>
      </w:r>
      <w:r w:rsidR="00E17ADA">
        <w:t xml:space="preserve"> the Mansfield Ward boundary was improved by bringing more of the town into the ward.</w:t>
      </w:r>
      <w:r w:rsidR="00F329B6">
        <w:t xml:space="preserve"> </w:t>
      </w:r>
    </w:p>
    <w:p w14:paraId="734B592D" w14:textId="40C0457B" w:rsidR="00F0424F" w:rsidRDefault="00565D77" w:rsidP="00DF2F06">
      <w:pPr>
        <w:pStyle w:val="BodyText"/>
        <w:spacing w:before="240"/>
      </w:pPr>
      <w:r>
        <w:t>Two</w:t>
      </w:r>
      <w:r w:rsidR="00885FD5">
        <w:t xml:space="preserve"> </w:t>
      </w:r>
      <w:r w:rsidR="008614E3">
        <w:t xml:space="preserve">response </w:t>
      </w:r>
      <w:r w:rsidR="00885FD5">
        <w:t>submissions opposed Option A</w:t>
      </w:r>
      <w:r w:rsidR="000A3612">
        <w:t>, arguing that the history of uncontested elections</w:t>
      </w:r>
      <w:r w:rsidR="00094B00">
        <w:t xml:space="preserve"> meant that voters did not have the opportunity to vote for a representative of their choice.</w:t>
      </w:r>
      <w:r w:rsidR="00C371DE">
        <w:t xml:space="preserve"> </w:t>
      </w:r>
      <w:r w:rsidR="00E47197">
        <w:t>One submitter supporting Option A also raised concerns about the history of uncontested elections for Mansfield Shire Council.</w:t>
      </w:r>
      <w:r w:rsidR="008C0B2E">
        <w:t xml:space="preserve"> Those opposed to Option A </w:t>
      </w:r>
      <w:r w:rsidR="00C371DE">
        <w:t xml:space="preserve">argued that </w:t>
      </w:r>
      <w:r w:rsidR="00B7627A">
        <w:t xml:space="preserve">councillors representing wards were less motivated to understand </w:t>
      </w:r>
      <w:r w:rsidR="002C205D">
        <w:t xml:space="preserve">wider Shire </w:t>
      </w:r>
      <w:r w:rsidR="00B7627A">
        <w:t>issues</w:t>
      </w:r>
      <w:r w:rsidR="002C205D">
        <w:t>, and that it was more difficult for widespread communities of interest to gain representation on the Council.</w:t>
      </w:r>
      <w:r w:rsidR="00B7627A">
        <w:t xml:space="preserve"> </w:t>
      </w:r>
      <w:r w:rsidR="003F7FAF">
        <w:t>One submitter argued that the m</w:t>
      </w:r>
      <w:r w:rsidR="00FA5EC3">
        <w:t xml:space="preserve">ix of multi-councillor and single-councillor wards </w:t>
      </w:r>
      <w:r w:rsidR="00DF02D2">
        <w:t xml:space="preserve">also </w:t>
      </w:r>
      <w:r w:rsidR="00FA5EC3">
        <w:t>led to inequality</w:t>
      </w:r>
      <w:r w:rsidR="003F7FAF">
        <w:t xml:space="preserve"> in the Shire</w:t>
      </w:r>
      <w:r>
        <w:t xml:space="preserve">. This submitter argued that, because </w:t>
      </w:r>
      <w:r w:rsidR="00FA5EC3">
        <w:t xml:space="preserve">the quota to be elected in the multi-councillor Mansfield Ward was lower than </w:t>
      </w:r>
      <w:r w:rsidR="00FA5EC3">
        <w:lastRenderedPageBreak/>
        <w:t>for the single-councillor wards</w:t>
      </w:r>
      <w:r w:rsidR="009B50AD">
        <w:t xml:space="preserve">, </w:t>
      </w:r>
      <w:r w:rsidR="00FA5EC3">
        <w:t>it was easier for candidates in Mansfield Ward to be elected.</w:t>
      </w:r>
    </w:p>
    <w:p w14:paraId="2CA90444" w14:textId="5BC2902F" w:rsidR="00F5518D" w:rsidRDefault="004428EC" w:rsidP="00A12FE0">
      <w:pPr>
        <w:pStyle w:val="BodyText"/>
      </w:pPr>
      <w:r>
        <w:t>T</w:t>
      </w:r>
      <w:r w:rsidR="00AC43B7">
        <w:t xml:space="preserve">he </w:t>
      </w:r>
      <w:r w:rsidR="00A12FE0" w:rsidRPr="000763F8">
        <w:t>Proportional Representation Society of Australia (Victoria-Tasmania) Inc</w:t>
      </w:r>
      <w:r w:rsidR="009E64D8">
        <w:t>.</w:t>
      </w:r>
      <w:r>
        <w:t xml:space="preserve"> (PRSA</w:t>
      </w:r>
      <w:r w:rsidR="00A12FE0">
        <w:t xml:space="preserve">) </w:t>
      </w:r>
      <w:r w:rsidR="00AA5074">
        <w:t xml:space="preserve">supported both Option B and Option C, </w:t>
      </w:r>
      <w:r w:rsidR="007E3C1F">
        <w:t xml:space="preserve">arguing that </w:t>
      </w:r>
      <w:r w:rsidR="00885FD5">
        <w:t>both electoral structures would enable proportional representation to function well.</w:t>
      </w:r>
      <w:r w:rsidR="00F815D8">
        <w:t xml:space="preserve"> </w:t>
      </w:r>
    </w:p>
    <w:p w14:paraId="6B157459" w14:textId="72489EB5" w:rsidR="007B6085" w:rsidRPr="00D22EE2" w:rsidRDefault="004F0FC2" w:rsidP="00DF2F06">
      <w:pPr>
        <w:pStyle w:val="BodyText"/>
        <w:spacing w:before="240"/>
      </w:pPr>
      <w:r>
        <w:t>In addition to the PRSA, t</w:t>
      </w:r>
      <w:r w:rsidR="00C202B5">
        <w:t>hree</w:t>
      </w:r>
      <w:r w:rsidR="00A12FE0">
        <w:t xml:space="preserve"> </w:t>
      </w:r>
      <w:r w:rsidR="00E83029">
        <w:t xml:space="preserve">response </w:t>
      </w:r>
      <w:r w:rsidR="00A12FE0">
        <w:t>submi</w:t>
      </w:r>
      <w:r w:rsidR="00E83029">
        <w:t>ssions</w:t>
      </w:r>
      <w:r w:rsidR="00A12FE0">
        <w:t xml:space="preserve"> supported Option C</w:t>
      </w:r>
      <w:r w:rsidR="00AF5160">
        <w:t>.</w:t>
      </w:r>
      <w:r w:rsidR="003645D2">
        <w:t xml:space="preserve"> </w:t>
      </w:r>
      <w:r w:rsidR="0096570A">
        <w:t>Of these, o</w:t>
      </w:r>
      <w:r w:rsidR="007B6085">
        <w:t xml:space="preserve">ne </w:t>
      </w:r>
      <w:r w:rsidR="002F763A">
        <w:t xml:space="preserve">submitter </w:t>
      </w:r>
      <w:r w:rsidR="007B6085">
        <w:t>argued that Shire-</w:t>
      </w:r>
      <w:r w:rsidR="007B6085" w:rsidRPr="00D22EE2">
        <w:t>wide issues were important to and impacted all voters in the Shire, therefore all voters should be able to elect all councillors.</w:t>
      </w:r>
      <w:r w:rsidR="002B3EA9" w:rsidRPr="00D22EE2">
        <w:t xml:space="preserve"> This submitter </w:t>
      </w:r>
      <w:r w:rsidR="00D230D2" w:rsidRPr="00D22EE2">
        <w:t xml:space="preserve">also </w:t>
      </w:r>
      <w:r w:rsidR="002B3EA9" w:rsidRPr="00D22EE2">
        <w:t xml:space="preserve">argued that an </w:t>
      </w:r>
      <w:proofErr w:type="spellStart"/>
      <w:r w:rsidR="002B3EA9" w:rsidRPr="00D22EE2">
        <w:t>unsubdivided</w:t>
      </w:r>
      <w:proofErr w:type="spellEnd"/>
      <w:r w:rsidR="002B3EA9" w:rsidRPr="00D22EE2">
        <w:t xml:space="preserve"> electoral structure would provide a greater opportunity for widespread communities of interest to gain representation on the Council.</w:t>
      </w:r>
      <w:r w:rsidR="00DA53B2" w:rsidRPr="00D22EE2">
        <w:t xml:space="preserve"> This submitter argued that seven councillors was appropriate for Mansfield Shire as this was comparable to similar</w:t>
      </w:r>
      <w:r w:rsidR="002F763A">
        <w:t xml:space="preserve"> country Victoria</w:t>
      </w:r>
      <w:r w:rsidR="00DA53B2" w:rsidRPr="00D22EE2">
        <w:t xml:space="preserve"> local councils</w:t>
      </w:r>
      <w:r w:rsidR="00583941" w:rsidRPr="00D22EE2">
        <w:t xml:space="preserve">. Also, </w:t>
      </w:r>
      <w:r w:rsidR="00DA53B2" w:rsidRPr="00D22EE2">
        <w:t xml:space="preserve">that increasing the number of councillors would enable </w:t>
      </w:r>
      <w:r w:rsidR="00B6223E" w:rsidRPr="00D22EE2">
        <w:t xml:space="preserve">a </w:t>
      </w:r>
      <w:r w:rsidR="00DA53B2" w:rsidRPr="00D22EE2">
        <w:t xml:space="preserve">more diverse </w:t>
      </w:r>
      <w:r w:rsidR="00B6223E" w:rsidRPr="00D22EE2">
        <w:t>Council,</w:t>
      </w:r>
      <w:r w:rsidR="00DA53B2" w:rsidRPr="00D22EE2">
        <w:t xml:space="preserve"> which would result in better decision-making and a Council</w:t>
      </w:r>
      <w:r w:rsidR="00DC56D8" w:rsidRPr="00D22EE2">
        <w:t xml:space="preserve"> that was more representative of the wider community</w:t>
      </w:r>
      <w:r w:rsidR="00DA53B2" w:rsidRPr="00D22EE2">
        <w:t>.</w:t>
      </w:r>
      <w:r w:rsidR="002B3EA9" w:rsidRPr="00D22EE2">
        <w:t xml:space="preserve"> </w:t>
      </w:r>
    </w:p>
    <w:p w14:paraId="311D7DC2" w14:textId="77777777" w:rsidR="00631FA5" w:rsidRPr="00D22EE2" w:rsidRDefault="009953F2" w:rsidP="00DF2F06">
      <w:pPr>
        <w:pStyle w:val="BodyText"/>
        <w:spacing w:before="240"/>
      </w:pPr>
      <w:r w:rsidRPr="00D22EE2">
        <w:t xml:space="preserve">Two submissions in support of Option C did not detail their reasoning for supporting this </w:t>
      </w:r>
      <w:r w:rsidR="001D61ED" w:rsidRPr="00D22EE2">
        <w:t xml:space="preserve">option. Of these, </w:t>
      </w:r>
      <w:r w:rsidR="00631FA5" w:rsidRPr="00D22EE2">
        <w:t xml:space="preserve">one </w:t>
      </w:r>
      <w:r w:rsidR="001D61ED" w:rsidRPr="00D22EE2">
        <w:t xml:space="preserve">submission </w:t>
      </w:r>
      <w:r w:rsidR="00E63ECF" w:rsidRPr="00D22EE2">
        <w:t>stated they would have preferred to support a subdivided option with seven councillors, indicating</w:t>
      </w:r>
      <w:r w:rsidR="001D61ED" w:rsidRPr="00D22EE2">
        <w:t xml:space="preserve"> </w:t>
      </w:r>
      <w:r w:rsidR="00BD72FB" w:rsidRPr="00D22EE2">
        <w:t xml:space="preserve">that their support for Option C was based on this </w:t>
      </w:r>
      <w:r w:rsidR="008C74B8" w:rsidRPr="00D22EE2">
        <w:t xml:space="preserve">being the only </w:t>
      </w:r>
      <w:r w:rsidR="00BD72FB" w:rsidRPr="00D22EE2">
        <w:t xml:space="preserve">option </w:t>
      </w:r>
      <w:r w:rsidR="008C74B8" w:rsidRPr="00D22EE2">
        <w:t xml:space="preserve">which </w:t>
      </w:r>
      <w:r w:rsidR="00BD72FB" w:rsidRPr="00D22EE2">
        <w:t xml:space="preserve">increased </w:t>
      </w:r>
      <w:r w:rsidR="008C74B8" w:rsidRPr="00D22EE2">
        <w:t xml:space="preserve">the </w:t>
      </w:r>
      <w:r w:rsidR="00BD72FB" w:rsidRPr="00D22EE2">
        <w:t>number of councillors</w:t>
      </w:r>
      <w:r w:rsidR="008C74B8" w:rsidRPr="00D22EE2">
        <w:t xml:space="preserve"> to seven</w:t>
      </w:r>
      <w:r w:rsidR="00BD72FB" w:rsidRPr="00D22EE2">
        <w:t xml:space="preserve">. </w:t>
      </w:r>
    </w:p>
    <w:p w14:paraId="536E4608" w14:textId="77777777" w:rsidR="00F5518D" w:rsidRDefault="00F5518D" w:rsidP="00F5518D">
      <w:pPr>
        <w:pStyle w:val="BodyText"/>
      </w:pPr>
      <w:r w:rsidRPr="00D22EE2">
        <w:t>Three submitters opposed both Option B and Option C</w:t>
      </w:r>
      <w:r w:rsidR="00A62212" w:rsidRPr="00D22EE2">
        <w:t>. These submitter</w:t>
      </w:r>
      <w:r w:rsidR="00477235">
        <w:t>s</w:t>
      </w:r>
      <w:r w:rsidR="00A62212" w:rsidRPr="00D22EE2">
        <w:t xml:space="preserve"> were concerned </w:t>
      </w:r>
      <w:r w:rsidR="007B5523" w:rsidRPr="00D22EE2">
        <w:t xml:space="preserve">that an </w:t>
      </w:r>
      <w:proofErr w:type="spellStart"/>
      <w:r w:rsidR="007B5523" w:rsidRPr="00D22EE2">
        <w:t>unsubdivided</w:t>
      </w:r>
      <w:proofErr w:type="spellEnd"/>
      <w:r w:rsidR="007B5523" w:rsidRPr="00D22EE2">
        <w:t xml:space="preserve"> electoral structure may </w:t>
      </w:r>
      <w:r w:rsidR="00BE4CF4">
        <w:t xml:space="preserve">lead to </w:t>
      </w:r>
      <w:r w:rsidR="007B5523" w:rsidRPr="00D22EE2">
        <w:t xml:space="preserve">most councillors coming from Mansfield and </w:t>
      </w:r>
      <w:r w:rsidR="00BE4CF4">
        <w:t xml:space="preserve">result in reduced </w:t>
      </w:r>
      <w:r w:rsidR="007B5523" w:rsidRPr="00D22EE2">
        <w:t xml:space="preserve">representation for other areas of the Shire. </w:t>
      </w:r>
    </w:p>
    <w:p w14:paraId="4881707B" w14:textId="77777777" w:rsidR="00F66E14" w:rsidRPr="00EF4ACB" w:rsidRDefault="00F66E14" w:rsidP="00F5118B">
      <w:pPr>
        <w:pStyle w:val="Heading2numbered"/>
      </w:pPr>
      <w:bookmarkStart w:id="16" w:name="_Toc32583996"/>
      <w:r w:rsidRPr="00EF4ACB">
        <w:t>Public hearing</w:t>
      </w:r>
      <w:bookmarkEnd w:id="16"/>
    </w:p>
    <w:p w14:paraId="222CCCB5" w14:textId="290692E6" w:rsidR="00531732" w:rsidRDefault="00F66E14" w:rsidP="00016DEC">
      <w:pPr>
        <w:pStyle w:val="BodyText"/>
      </w:pPr>
      <w:r w:rsidRPr="00EF4ACB">
        <w:t xml:space="preserve">The VEC conducted a public hearing for those wishing to speak about their response </w:t>
      </w:r>
      <w:r w:rsidRPr="00B91CF8">
        <w:t xml:space="preserve">submission at </w:t>
      </w:r>
      <w:r w:rsidRPr="00B91CF8">
        <w:rPr>
          <w:noProof/>
        </w:rPr>
        <w:t>5.30 pm</w:t>
      </w:r>
      <w:r w:rsidRPr="00B91CF8">
        <w:t xml:space="preserve"> on </w:t>
      </w:r>
      <w:r w:rsidRPr="00B91CF8">
        <w:rPr>
          <w:noProof/>
        </w:rPr>
        <w:t>Monday 2 March 2020</w:t>
      </w:r>
      <w:r w:rsidRPr="00B91CF8">
        <w:t xml:space="preserve"> in </w:t>
      </w:r>
      <w:r w:rsidR="00B91CF8" w:rsidRPr="00B91CF8">
        <w:t xml:space="preserve">the </w:t>
      </w:r>
      <w:r w:rsidRPr="00B91CF8">
        <w:rPr>
          <w:noProof/>
        </w:rPr>
        <w:t>Council Chambers, 33 Highett Street, Mansfield</w:t>
      </w:r>
      <w:r w:rsidRPr="00B91CF8">
        <w:t xml:space="preserve">. </w:t>
      </w:r>
    </w:p>
    <w:p w14:paraId="740F5F8D" w14:textId="75A95F9A" w:rsidR="0068776A" w:rsidRDefault="00C37F08" w:rsidP="001005DC">
      <w:pPr>
        <w:pStyle w:val="BodyText"/>
        <w:rPr>
          <w:lang w:val="en-US"/>
        </w:rPr>
      </w:pPr>
      <w:r>
        <w:t>One person</w:t>
      </w:r>
      <w:r w:rsidR="0068776A">
        <w:t xml:space="preserve">, Mr Michael </w:t>
      </w:r>
      <w:proofErr w:type="spellStart"/>
      <w:r w:rsidR="0068776A">
        <w:t>Wahren</w:t>
      </w:r>
      <w:proofErr w:type="spellEnd"/>
      <w:r>
        <w:t xml:space="preserve"> spoke at the hearing</w:t>
      </w:r>
      <w:r w:rsidR="0068776A">
        <w:t xml:space="preserve">. Mr </w:t>
      </w:r>
      <w:proofErr w:type="spellStart"/>
      <w:r w:rsidR="0068776A">
        <w:t>Wahren</w:t>
      </w:r>
      <w:proofErr w:type="spellEnd"/>
      <w:r w:rsidR="00531732">
        <w:t xml:space="preserve"> argued that only Option C fully complies with the</w:t>
      </w:r>
      <w:r w:rsidR="001005DC">
        <w:t xml:space="preserve"> VEC’s</w:t>
      </w:r>
      <w:r w:rsidR="00531732">
        <w:t xml:space="preserve"> three</w:t>
      </w:r>
      <w:r w:rsidR="001005DC">
        <w:t xml:space="preserve"> guiding</w:t>
      </w:r>
      <w:r w:rsidR="00531732">
        <w:t xml:space="preserve"> principles</w:t>
      </w:r>
      <w:r w:rsidR="001005DC">
        <w:t xml:space="preserve"> on representation reviews</w:t>
      </w:r>
      <w:r w:rsidR="0068776A">
        <w:t xml:space="preserve">. </w:t>
      </w:r>
      <w:r w:rsidR="002F763A">
        <w:t xml:space="preserve">Mr </w:t>
      </w:r>
      <w:proofErr w:type="spellStart"/>
      <w:r w:rsidR="002F763A">
        <w:t>Wahren</w:t>
      </w:r>
      <w:proofErr w:type="spellEnd"/>
      <w:r w:rsidR="0068776A">
        <w:rPr>
          <w:lang w:val="en-US"/>
        </w:rPr>
        <w:t xml:space="preserve"> noted that in Option C the number of </w:t>
      </w:r>
      <w:proofErr w:type="spellStart"/>
      <w:r w:rsidR="0068776A">
        <w:rPr>
          <w:lang w:val="en-US"/>
        </w:rPr>
        <w:t>councillors</w:t>
      </w:r>
      <w:proofErr w:type="spellEnd"/>
      <w:r w:rsidR="0068776A">
        <w:rPr>
          <w:lang w:val="en-US"/>
        </w:rPr>
        <w:t xml:space="preserve"> (at seven), would be comparable to similar local councils across the State. He argued that the principle of ‘one vote, one value’ was not being upheld in the current structure as there ha</w:t>
      </w:r>
      <w:r w:rsidR="009E64D8">
        <w:rPr>
          <w:lang w:val="en-US"/>
        </w:rPr>
        <w:t>ve</w:t>
      </w:r>
      <w:r w:rsidR="0068776A">
        <w:rPr>
          <w:lang w:val="en-US"/>
        </w:rPr>
        <w:t xml:space="preserve"> been many uncontested elections where voters have not had the opportunity to vote at all. In relation to the VEC’s third principle, on ensuring communities of interest are fairly </w:t>
      </w:r>
      <w:r w:rsidR="0068776A">
        <w:rPr>
          <w:lang w:val="en-US"/>
        </w:rPr>
        <w:lastRenderedPageBreak/>
        <w:t xml:space="preserve">represented, he argued that seven </w:t>
      </w:r>
      <w:proofErr w:type="spellStart"/>
      <w:r w:rsidR="0068776A">
        <w:rPr>
          <w:lang w:val="en-US"/>
        </w:rPr>
        <w:t>councillors</w:t>
      </w:r>
      <w:proofErr w:type="spellEnd"/>
      <w:r w:rsidR="0068776A">
        <w:rPr>
          <w:lang w:val="en-US"/>
        </w:rPr>
        <w:t xml:space="preserve"> elected from an </w:t>
      </w:r>
      <w:proofErr w:type="spellStart"/>
      <w:r w:rsidR="0068776A">
        <w:rPr>
          <w:lang w:val="en-US"/>
        </w:rPr>
        <w:t>unsubdivided</w:t>
      </w:r>
      <w:proofErr w:type="spellEnd"/>
      <w:r w:rsidR="0068776A">
        <w:rPr>
          <w:lang w:val="en-US"/>
        </w:rPr>
        <w:t xml:space="preserve"> electoral structure would </w:t>
      </w:r>
      <w:r w:rsidR="00F60124">
        <w:rPr>
          <w:lang w:val="en-US"/>
        </w:rPr>
        <w:t xml:space="preserve">provide the opportunity for </w:t>
      </w:r>
      <w:r w:rsidR="0068776A">
        <w:rPr>
          <w:lang w:val="en-US"/>
        </w:rPr>
        <w:t>non-geographic communities</w:t>
      </w:r>
      <w:r w:rsidR="00F60124">
        <w:rPr>
          <w:lang w:val="en-US"/>
        </w:rPr>
        <w:t xml:space="preserve"> of interest to elect a representative. </w:t>
      </w:r>
    </w:p>
    <w:p w14:paraId="508EBD1B" w14:textId="0022A9A0" w:rsidR="00CD36F5" w:rsidRDefault="00F60124" w:rsidP="001005DC">
      <w:pPr>
        <w:pStyle w:val="BodyText"/>
        <w:rPr>
          <w:lang w:val="en-US"/>
        </w:rPr>
      </w:pPr>
      <w:proofErr w:type="spellStart"/>
      <w:r>
        <w:rPr>
          <w:lang w:val="en-US"/>
        </w:rPr>
        <w:t>Mr</w:t>
      </w:r>
      <w:proofErr w:type="spellEnd"/>
      <w:r>
        <w:rPr>
          <w:lang w:val="en-US"/>
        </w:rPr>
        <w:t xml:space="preserve"> </w:t>
      </w:r>
      <w:proofErr w:type="spellStart"/>
      <w:r>
        <w:rPr>
          <w:lang w:val="en-US"/>
        </w:rPr>
        <w:t>Wahren</w:t>
      </w:r>
      <w:proofErr w:type="spellEnd"/>
      <w:r>
        <w:rPr>
          <w:lang w:val="en-US"/>
        </w:rPr>
        <w:t xml:space="preserve"> argued </w:t>
      </w:r>
      <w:r w:rsidR="0022468C">
        <w:rPr>
          <w:lang w:val="en-US"/>
        </w:rPr>
        <w:t xml:space="preserve">that the </w:t>
      </w:r>
      <w:r>
        <w:rPr>
          <w:lang w:val="en-US"/>
        </w:rPr>
        <w:t>communit</w:t>
      </w:r>
      <w:r w:rsidR="000576D7">
        <w:rPr>
          <w:lang w:val="en-US"/>
        </w:rPr>
        <w:t>y</w:t>
      </w:r>
      <w:r>
        <w:rPr>
          <w:lang w:val="en-US"/>
        </w:rPr>
        <w:t>’</w:t>
      </w:r>
      <w:r w:rsidR="000576D7">
        <w:rPr>
          <w:lang w:val="en-US"/>
        </w:rPr>
        <w:t>s</w:t>
      </w:r>
      <w:r>
        <w:rPr>
          <w:lang w:val="en-US"/>
        </w:rPr>
        <w:t xml:space="preserve"> </w:t>
      </w:r>
      <w:r w:rsidR="0022468C">
        <w:rPr>
          <w:lang w:val="en-US"/>
        </w:rPr>
        <w:t xml:space="preserve">low performance rating </w:t>
      </w:r>
      <w:r>
        <w:rPr>
          <w:lang w:val="en-US"/>
        </w:rPr>
        <w:t xml:space="preserve">of Mansfield Shire Council </w:t>
      </w:r>
      <w:r w:rsidR="0022468C">
        <w:rPr>
          <w:lang w:val="en-US"/>
        </w:rPr>
        <w:t xml:space="preserve">in the community satisfaction survey stems in part from the Council structure. </w:t>
      </w:r>
      <w:r>
        <w:rPr>
          <w:lang w:val="en-US"/>
        </w:rPr>
        <w:t xml:space="preserve">He believed that there was some apathy within the community and that changing to an </w:t>
      </w:r>
      <w:proofErr w:type="spellStart"/>
      <w:r>
        <w:rPr>
          <w:lang w:val="en-US"/>
        </w:rPr>
        <w:t>unsubdivided</w:t>
      </w:r>
      <w:proofErr w:type="spellEnd"/>
      <w:r>
        <w:rPr>
          <w:lang w:val="en-US"/>
        </w:rPr>
        <w:t xml:space="preserve"> electoral structure </w:t>
      </w:r>
      <w:r w:rsidR="0022468C">
        <w:rPr>
          <w:lang w:val="en-US"/>
        </w:rPr>
        <w:t xml:space="preserve">would </w:t>
      </w:r>
      <w:r>
        <w:rPr>
          <w:lang w:val="en-US"/>
        </w:rPr>
        <w:t xml:space="preserve">encourage more people to nominate at elections </w:t>
      </w:r>
      <w:r w:rsidR="00CD36F5">
        <w:rPr>
          <w:lang w:val="en-US"/>
        </w:rPr>
        <w:t>and</w:t>
      </w:r>
      <w:r w:rsidR="009E64D8">
        <w:rPr>
          <w:lang w:val="en-US"/>
        </w:rPr>
        <w:t>,</w:t>
      </w:r>
      <w:r w:rsidR="00CD36F5">
        <w:rPr>
          <w:lang w:val="en-US"/>
        </w:rPr>
        <w:t xml:space="preserve"> with all voters able to vote for all </w:t>
      </w:r>
      <w:proofErr w:type="spellStart"/>
      <w:r w:rsidR="00CD36F5">
        <w:rPr>
          <w:lang w:val="en-US"/>
        </w:rPr>
        <w:t>councillors</w:t>
      </w:r>
      <w:proofErr w:type="spellEnd"/>
      <w:r w:rsidR="00CD36F5">
        <w:rPr>
          <w:lang w:val="en-US"/>
        </w:rPr>
        <w:t xml:space="preserve">, this would result </w:t>
      </w:r>
      <w:r>
        <w:rPr>
          <w:lang w:val="en-US"/>
        </w:rPr>
        <w:t xml:space="preserve">in </w:t>
      </w:r>
      <w:r w:rsidR="0022468C">
        <w:rPr>
          <w:lang w:val="en-US"/>
        </w:rPr>
        <w:t>a broader representation of views on Council.</w:t>
      </w:r>
    </w:p>
    <w:p w14:paraId="483D95F9" w14:textId="77777777" w:rsidR="00CD36F5" w:rsidRDefault="00CD36F5">
      <w:pPr>
        <w:rPr>
          <w:rFonts w:ascii="Century Gothic" w:hAnsi="Century Gothic"/>
          <w:lang w:val="en-US"/>
        </w:rPr>
      </w:pPr>
      <w:r>
        <w:rPr>
          <w:lang w:val="en-US"/>
        </w:rPr>
        <w:br w:type="page"/>
      </w:r>
    </w:p>
    <w:p w14:paraId="442FED8D" w14:textId="7EF8D5D0" w:rsidR="00F66E14" w:rsidRPr="00EF4ACB" w:rsidRDefault="00F66E14" w:rsidP="00F5118B">
      <w:pPr>
        <w:pStyle w:val="Heading1numbered"/>
        <w:rPr>
          <w:rFonts w:ascii="Century Gothic" w:hAnsi="Century Gothic"/>
        </w:rPr>
      </w:pPr>
      <w:bookmarkStart w:id="17" w:name="_Toc32583997"/>
      <w:r w:rsidRPr="00EF4ACB">
        <w:rPr>
          <w:rFonts w:ascii="Century Gothic" w:hAnsi="Century Gothic"/>
        </w:rPr>
        <w:lastRenderedPageBreak/>
        <w:t>Findings and recommendation</w:t>
      </w:r>
      <w:bookmarkEnd w:id="17"/>
    </w:p>
    <w:p w14:paraId="7DB91C13" w14:textId="77777777" w:rsidR="00F66E14" w:rsidRPr="00EF4ACB" w:rsidRDefault="00F66E14" w:rsidP="00C02AA7">
      <w:pPr>
        <w:pStyle w:val="Heading2numbered"/>
      </w:pPr>
      <w:bookmarkStart w:id="18" w:name="_Toc32583998"/>
      <w:r w:rsidRPr="00EF4ACB">
        <w:t>The VEC’s findings</w:t>
      </w:r>
      <w:bookmarkEnd w:id="18"/>
    </w:p>
    <w:p w14:paraId="70B8E9B7" w14:textId="2199CD6F" w:rsidR="00895C69" w:rsidRDefault="00895C69" w:rsidP="00895C69">
      <w:pPr>
        <w:pStyle w:val="BodyText"/>
      </w:pPr>
      <w:r>
        <w:t xml:space="preserve">The VEC proposed three options in its preliminary report. All three options would provide fair and equitable representation in accordance with the Act. Each option had advantages and disadvantages, which were discussed in the preliminary report. At the final stage of the review, the VEC carefully considered all options in relation to its own research, the 10 preliminary submissions and eight response submissions </w:t>
      </w:r>
      <w:proofErr w:type="gramStart"/>
      <w:r>
        <w:t>received</w:t>
      </w:r>
      <w:proofErr w:type="gramEnd"/>
      <w:r w:rsidR="00D76DD6">
        <w:t xml:space="preserve"> and</w:t>
      </w:r>
      <w:r>
        <w:t xml:space="preserve"> the evidence given at the public hearing</w:t>
      </w:r>
      <w:r w:rsidR="0068776A">
        <w:t>. O</w:t>
      </w:r>
      <w:r>
        <w:t xml:space="preserve">n balance, it considered that </w:t>
      </w:r>
      <w:r w:rsidR="00D76DD6">
        <w:t xml:space="preserve">five councillors elected from an </w:t>
      </w:r>
      <w:proofErr w:type="spellStart"/>
      <w:r w:rsidR="00D76DD6">
        <w:t>unsubdivided</w:t>
      </w:r>
      <w:proofErr w:type="spellEnd"/>
      <w:r w:rsidR="00D76DD6">
        <w:t xml:space="preserve"> electoral structure (</w:t>
      </w:r>
      <w:r>
        <w:t>Option B</w:t>
      </w:r>
      <w:r w:rsidR="00D76DD6">
        <w:t>)</w:t>
      </w:r>
      <w:r>
        <w:t xml:space="preserve"> provided greater advantages to ensure fair and equitable representation for voters in Mansfield Shire Council. </w:t>
      </w:r>
    </w:p>
    <w:p w14:paraId="2536FF69" w14:textId="3BAACCD3" w:rsidR="00F64B08" w:rsidRDefault="00F64B08" w:rsidP="00F64B08">
      <w:pPr>
        <w:pStyle w:val="Heading3"/>
      </w:pPr>
      <w:r>
        <w:t>Number of councillors</w:t>
      </w:r>
    </w:p>
    <w:p w14:paraId="30BCBA46" w14:textId="251A8A91" w:rsidR="00C16869" w:rsidRDefault="0068776A" w:rsidP="00075370">
      <w:pPr>
        <w:pStyle w:val="BodyText"/>
      </w:pPr>
      <w:r>
        <w:t>Opinion was divided on the number of councillors, with a narrow majority of</w:t>
      </w:r>
      <w:r w:rsidR="00F64B08">
        <w:t xml:space="preserve"> submissions supporting the existing number of five councillors.</w:t>
      </w:r>
      <w:r w:rsidR="005C7664" w:rsidRPr="005C7664">
        <w:t xml:space="preserve"> </w:t>
      </w:r>
      <w:r w:rsidR="004B382F">
        <w:t>The VEC’s research showed that</w:t>
      </w:r>
      <w:r w:rsidR="008F3246">
        <w:t>,</w:t>
      </w:r>
      <w:r w:rsidR="004B382F">
        <w:t xml:space="preserve"> a</w:t>
      </w:r>
      <w:r w:rsidR="005C7664">
        <w:t xml:space="preserve">lthough </w:t>
      </w:r>
      <w:r w:rsidR="002F3259">
        <w:t xml:space="preserve">comparable </w:t>
      </w:r>
      <w:r w:rsidR="005C7664">
        <w:t xml:space="preserve">councils generally have seven councillors, </w:t>
      </w:r>
      <w:r w:rsidR="00075370">
        <w:t xml:space="preserve">the large number of non-resident voters in Mansfield Shire and largely </w:t>
      </w:r>
      <w:r w:rsidR="005C7664" w:rsidRPr="00C827EB">
        <w:t>socially and linguistically homogenous</w:t>
      </w:r>
      <w:r w:rsidR="00075370">
        <w:t xml:space="preserve"> community means councillors</w:t>
      </w:r>
      <w:r w:rsidR="002C623D">
        <w:t xml:space="preserve"> in this Shire</w:t>
      </w:r>
      <w:r w:rsidR="00075370">
        <w:t xml:space="preserve"> have a lower workload than</w:t>
      </w:r>
      <w:r w:rsidR="002C623D">
        <w:t xml:space="preserve"> in</w:t>
      </w:r>
      <w:r w:rsidR="00075370">
        <w:t xml:space="preserve"> </w:t>
      </w:r>
      <w:r w:rsidR="002C623D">
        <w:t xml:space="preserve">similar-sized country Victorian councils. </w:t>
      </w:r>
      <w:r w:rsidR="00AD4AD0">
        <w:t xml:space="preserve">Additionally, </w:t>
      </w:r>
      <w:r w:rsidR="002C623D">
        <w:t>the Shire</w:t>
      </w:r>
      <w:r w:rsidR="00AD4AD0">
        <w:t xml:space="preserve"> is expected to have lower</w:t>
      </w:r>
      <w:r w:rsidR="008F3246">
        <w:t>-</w:t>
      </w:r>
      <w:r w:rsidR="00AD4AD0">
        <w:t>than</w:t>
      </w:r>
      <w:r w:rsidR="008F3246">
        <w:t>-</w:t>
      </w:r>
      <w:r w:rsidR="00AD4AD0">
        <w:t>average growth in the short-to-medium term</w:t>
      </w:r>
      <w:r w:rsidR="00C16869">
        <w:t xml:space="preserve">. </w:t>
      </w:r>
      <w:r w:rsidR="00F076C0">
        <w:t>Finally, the VEC considered that i</w:t>
      </w:r>
      <w:r w:rsidR="002F3259">
        <w:t xml:space="preserve">ncreasing the number of councillors </w:t>
      </w:r>
      <w:r>
        <w:t>could exacerbate the existing pattern of uncontested elections</w:t>
      </w:r>
      <w:r w:rsidR="002F3259">
        <w:t xml:space="preserve">. </w:t>
      </w:r>
      <w:r w:rsidR="00C16869">
        <w:t xml:space="preserve">For these reasons, the VEC </w:t>
      </w:r>
      <w:r w:rsidR="00F076C0">
        <w:t>found</w:t>
      </w:r>
      <w:r w:rsidR="00C16869">
        <w:t xml:space="preserve"> that an </w:t>
      </w:r>
      <w:r w:rsidR="00AD4AD0">
        <w:t xml:space="preserve">increase in the number of councillors </w:t>
      </w:r>
      <w:r w:rsidR="00C16869">
        <w:t xml:space="preserve">is not warranted </w:t>
      </w:r>
      <w:r>
        <w:t>in this review</w:t>
      </w:r>
      <w:r w:rsidR="00C16869">
        <w:t>.</w:t>
      </w:r>
      <w:r w:rsidR="00C16869" w:rsidRPr="00C16869">
        <w:t xml:space="preserve"> </w:t>
      </w:r>
      <w:r w:rsidR="00C16869">
        <w:t>The VEC recommends Mansfield Shire Council</w:t>
      </w:r>
      <w:r>
        <w:t xml:space="preserve"> retain five councillors</w:t>
      </w:r>
      <w:r w:rsidR="00C16869">
        <w:t>.</w:t>
      </w:r>
    </w:p>
    <w:p w14:paraId="7EE9D655" w14:textId="77777777" w:rsidR="00AD4AD0" w:rsidRPr="00217C3E" w:rsidRDefault="00AD4AD0" w:rsidP="00AD4AD0">
      <w:pPr>
        <w:pStyle w:val="Heading3"/>
      </w:pPr>
      <w:r>
        <w:t>Electoral structure</w:t>
      </w:r>
    </w:p>
    <w:p w14:paraId="2F644DB4" w14:textId="12FE12FC" w:rsidR="00AD4AD0" w:rsidRDefault="00AD4AD0" w:rsidP="00AD4AD0">
      <w:pPr>
        <w:pStyle w:val="BodyText"/>
      </w:pPr>
      <w:r>
        <w:t xml:space="preserve">The VEC identified two main issues during the preliminary stage that highlighted the need </w:t>
      </w:r>
      <w:r w:rsidR="00853E50">
        <w:t>to</w:t>
      </w:r>
      <w:r>
        <w:t xml:space="preserve"> change</w:t>
      </w:r>
      <w:r w:rsidR="00853E50">
        <w:t xml:space="preserve"> the electoral structure</w:t>
      </w:r>
      <w:r>
        <w:t xml:space="preserve">. The </w:t>
      </w:r>
      <w:r w:rsidR="00F076C0">
        <w:t>first</w:t>
      </w:r>
      <w:r>
        <w:t xml:space="preserve"> was that voter projections indicate</w:t>
      </w:r>
      <w:r w:rsidR="007E4A4D">
        <w:t>d</w:t>
      </w:r>
      <w:r>
        <w:t xml:space="preserve"> that two wards (Bonnie Doon Ward and Mansfield Ward) </w:t>
      </w:r>
      <w:r w:rsidR="007E4A4D">
        <w:t xml:space="preserve">would </w:t>
      </w:r>
      <w:r>
        <w:t xml:space="preserve">fall outside the legislated </w:t>
      </w:r>
      <w:r w:rsidRPr="00F64E5F">
        <w:t>plus-or-minus 10% range</w:t>
      </w:r>
      <w:r>
        <w:t xml:space="preserve"> before the next scheduled representation review. </w:t>
      </w:r>
      <w:r w:rsidR="00F076C0">
        <w:t xml:space="preserve">The second was the consistent pattern of low candidate numbers and uncontested elections for </w:t>
      </w:r>
      <w:r w:rsidR="00F076C0" w:rsidRPr="004D0419">
        <w:t>Mansfield Shire Council since the last representation review in 2007</w:t>
      </w:r>
      <w:r w:rsidR="00F076C0">
        <w:t>.</w:t>
      </w:r>
    </w:p>
    <w:p w14:paraId="0889B285" w14:textId="7BF1C737" w:rsidR="00BC16E7" w:rsidRDefault="007E4A4D" w:rsidP="00BC16E7">
      <w:pPr>
        <w:pStyle w:val="BodyText"/>
      </w:pPr>
      <w:r>
        <w:t xml:space="preserve">Through the representation review, the VEC found that </w:t>
      </w:r>
      <w:r w:rsidR="00D76DD6">
        <w:t xml:space="preserve">five councillors elected from </w:t>
      </w:r>
      <w:r>
        <w:t xml:space="preserve">an </w:t>
      </w:r>
      <w:proofErr w:type="spellStart"/>
      <w:r w:rsidR="00BC16E7">
        <w:t>unsubdivided</w:t>
      </w:r>
      <w:proofErr w:type="spellEnd"/>
      <w:r>
        <w:t xml:space="preserve"> electoral</w:t>
      </w:r>
      <w:r w:rsidR="00BC16E7">
        <w:t xml:space="preserve"> structure would improve representation by enabling voters to </w:t>
      </w:r>
      <w:r w:rsidR="00BC16E7">
        <w:lastRenderedPageBreak/>
        <w:t xml:space="preserve">support their preferred candidate from across the Shire, as well as </w:t>
      </w:r>
      <w:r w:rsidR="00F076C0">
        <w:t xml:space="preserve">decreasing the chance of uncontested </w:t>
      </w:r>
      <w:r w:rsidR="00BC16E7">
        <w:t>elections.</w:t>
      </w:r>
    </w:p>
    <w:p w14:paraId="762A92D8" w14:textId="3849B617" w:rsidR="00CD36F5" w:rsidRDefault="00F076C0" w:rsidP="00BC16E7">
      <w:pPr>
        <w:pStyle w:val="BodyText"/>
      </w:pPr>
      <w:r>
        <w:t>While t</w:t>
      </w:r>
      <w:r w:rsidR="00CD36F5">
        <w:t xml:space="preserve">he existing electoral structure does respond to the </w:t>
      </w:r>
      <w:r>
        <w:t xml:space="preserve">different </w:t>
      </w:r>
      <w:r w:rsidR="00CD36F5">
        <w:t>geographic communities of interest</w:t>
      </w:r>
      <w:r>
        <w:t>, the VEC found that there were also many commonalities across the Shire</w:t>
      </w:r>
      <w:r w:rsidR="00CD36F5">
        <w:t>. Mansfield is by far the largest population centre of the Shire</w:t>
      </w:r>
      <w:r>
        <w:t xml:space="preserve"> and has a unique urban composition in comparison to the rural wards</w:t>
      </w:r>
      <w:r w:rsidR="00CD36F5">
        <w:t xml:space="preserve">. </w:t>
      </w:r>
      <w:r>
        <w:t>However, m</w:t>
      </w:r>
      <w:r w:rsidR="00CD36F5">
        <w:t>ost of the Shire’s population is concentrated in the north-western corner, within easy reach of the town of Mansfield</w:t>
      </w:r>
      <w:r>
        <w:t xml:space="preserve">. For this reason, it acts as </w:t>
      </w:r>
      <w:r w:rsidR="008F3246">
        <w:t xml:space="preserve">a </w:t>
      </w:r>
      <w:r w:rsidR="00CD36F5">
        <w:t>service centre for the whole Shire</w:t>
      </w:r>
      <w:r>
        <w:t xml:space="preserve"> and therefore the </w:t>
      </w:r>
      <w:r w:rsidR="00EE623E">
        <w:t xml:space="preserve">whole </w:t>
      </w:r>
      <w:r w:rsidR="008F3246">
        <w:t>S</w:t>
      </w:r>
      <w:r w:rsidR="00EE623E">
        <w:t>hire</w:t>
      </w:r>
      <w:r>
        <w:t xml:space="preserve"> has an interest in the town of Mansfield</w:t>
      </w:r>
      <w:r w:rsidR="00CD36F5">
        <w:t>. The tourism industry is also Shire-wide, affect</w:t>
      </w:r>
      <w:r w:rsidR="007E4A4D">
        <w:t>ing</w:t>
      </w:r>
      <w:r w:rsidR="00CD36F5">
        <w:t xml:space="preserve"> the town of </w:t>
      </w:r>
      <w:r w:rsidR="00D76DD6">
        <w:t>Mansfield</w:t>
      </w:r>
      <w:r w:rsidR="00EE623E">
        <w:t xml:space="preserve">, </w:t>
      </w:r>
      <w:r w:rsidR="00CD36F5">
        <w:t>the lak</w:t>
      </w:r>
      <w:r>
        <w:t>e</w:t>
      </w:r>
      <w:r w:rsidR="00CD36F5">
        <w:t xml:space="preserve">side and mountain areas. </w:t>
      </w:r>
      <w:r w:rsidR="00EE623E">
        <w:t>These shared interests</w:t>
      </w:r>
      <w:r w:rsidR="00CD36F5">
        <w:t xml:space="preserve"> </w:t>
      </w:r>
      <w:r w:rsidR="00EE623E">
        <w:t xml:space="preserve">led the VEC to </w:t>
      </w:r>
      <w:r w:rsidR="00CD36F5">
        <w:t>regard</w:t>
      </w:r>
      <w:r w:rsidR="00EE623E">
        <w:t xml:space="preserve"> the whole of </w:t>
      </w:r>
      <w:r w:rsidR="00CD36F5">
        <w:t>Mansfield Shire as a single</w:t>
      </w:r>
      <w:r w:rsidR="007E4A4D">
        <w:t xml:space="preserve"> </w:t>
      </w:r>
      <w:r w:rsidR="00CD36F5">
        <w:t xml:space="preserve">community of interest, well suited to an </w:t>
      </w:r>
      <w:proofErr w:type="spellStart"/>
      <w:r w:rsidR="00CD36F5">
        <w:t>unsubdivided</w:t>
      </w:r>
      <w:proofErr w:type="spellEnd"/>
      <w:r w:rsidR="00CD36F5">
        <w:t xml:space="preserve"> electoral structure. </w:t>
      </w:r>
    </w:p>
    <w:p w14:paraId="498908E0" w14:textId="498B3763" w:rsidR="00EE623E" w:rsidRDefault="007E4A4D" w:rsidP="00BC16E7">
      <w:pPr>
        <w:pStyle w:val="BodyText"/>
      </w:pPr>
      <w:r>
        <w:t xml:space="preserve">The second reason for change relates to democratic principles. Democracy implies choice and in all too many </w:t>
      </w:r>
      <w:r w:rsidR="002F763A">
        <w:t xml:space="preserve">general </w:t>
      </w:r>
      <w:r>
        <w:t xml:space="preserve">elections since the Shire’s foundation the voters of </w:t>
      </w:r>
      <w:r w:rsidR="00F076C0">
        <w:t>Mansfield</w:t>
      </w:r>
      <w:r>
        <w:t xml:space="preserve"> Shire have had no choice of representative. In this instance, the VEC is compelled to recommend a change to the electoral struc</w:t>
      </w:r>
      <w:r w:rsidR="00F076C0">
        <w:t>tu</w:t>
      </w:r>
      <w:r>
        <w:t xml:space="preserve">re. An </w:t>
      </w:r>
      <w:proofErr w:type="spellStart"/>
      <w:r>
        <w:t>unsubdivided</w:t>
      </w:r>
      <w:proofErr w:type="spellEnd"/>
      <w:r>
        <w:t xml:space="preserve"> </w:t>
      </w:r>
      <w:r w:rsidR="002F763A">
        <w:t xml:space="preserve">electoral </w:t>
      </w:r>
      <w:r>
        <w:t xml:space="preserve">structure is likely to minimise the chances of uncontested elections and maximise choice for voters. </w:t>
      </w:r>
    </w:p>
    <w:p w14:paraId="0C8F857C" w14:textId="77777777" w:rsidR="00F66E14" w:rsidRPr="00EF4ACB" w:rsidRDefault="00F66E14" w:rsidP="00C87BD4">
      <w:pPr>
        <w:pStyle w:val="Heading2numbered"/>
      </w:pPr>
      <w:bookmarkStart w:id="19" w:name="_Toc32583999"/>
      <w:r w:rsidRPr="00EF4ACB">
        <w:t>The VEC’s recommendation</w:t>
      </w:r>
      <w:bookmarkEnd w:id="19"/>
    </w:p>
    <w:p w14:paraId="20B1F450" w14:textId="5E11763E" w:rsidR="00F8758B" w:rsidRPr="00251256" w:rsidRDefault="00F8758B" w:rsidP="00F8758B">
      <w:pPr>
        <w:pStyle w:val="BodyText"/>
      </w:pPr>
      <w:r w:rsidRPr="00251256">
        <w:t xml:space="preserve">The Victorian Electoral Commission recommends that </w:t>
      </w:r>
      <w:r w:rsidRPr="00251256">
        <w:rPr>
          <w:noProof/>
        </w:rPr>
        <w:t xml:space="preserve">Mansfield Shire Council </w:t>
      </w:r>
      <w:r w:rsidR="00372ADE">
        <w:rPr>
          <w:noProof/>
        </w:rPr>
        <w:t>change</w:t>
      </w:r>
      <w:r w:rsidRPr="00251256">
        <w:rPr>
          <w:noProof/>
        </w:rPr>
        <w:t xml:space="preserve"> to consist of five councillors </w:t>
      </w:r>
      <w:r w:rsidR="00372ADE">
        <w:rPr>
          <w:noProof/>
        </w:rPr>
        <w:t xml:space="preserve">elected from </w:t>
      </w:r>
      <w:r w:rsidRPr="00251256">
        <w:rPr>
          <w:noProof/>
        </w:rPr>
        <w:t>an unsubdivided electoral structure</w:t>
      </w:r>
      <w:r w:rsidRPr="00251256">
        <w:t>.</w:t>
      </w:r>
    </w:p>
    <w:p w14:paraId="25598F03" w14:textId="5416DC2A" w:rsidR="00F66E14" w:rsidRPr="0028072E" w:rsidRDefault="00F66E14" w:rsidP="004C6E14">
      <w:pPr>
        <w:pStyle w:val="BodyText"/>
        <w:rPr>
          <w:color w:val="000000" w:themeColor="text1"/>
        </w:rPr>
      </w:pPr>
      <w:r w:rsidRPr="00EF4ACB">
        <w:t xml:space="preserve">This recommendation is submitted to the Minister for Local Government as required by the </w:t>
      </w:r>
      <w:r w:rsidRPr="0028072E">
        <w:rPr>
          <w:i/>
          <w:color w:val="000000" w:themeColor="text1"/>
        </w:rPr>
        <w:t>Local Government Act 1989</w:t>
      </w:r>
      <w:r w:rsidRPr="0028072E">
        <w:rPr>
          <w:color w:val="000000" w:themeColor="text1"/>
        </w:rPr>
        <w:t xml:space="preserve">. The model was designated as Option </w:t>
      </w:r>
      <w:r w:rsidR="00251256">
        <w:rPr>
          <w:color w:val="000000" w:themeColor="text1"/>
        </w:rPr>
        <w:t>B</w:t>
      </w:r>
      <w:r w:rsidR="00251256" w:rsidRPr="0028072E">
        <w:rPr>
          <w:color w:val="000000" w:themeColor="text1"/>
        </w:rPr>
        <w:t xml:space="preserve"> </w:t>
      </w:r>
      <w:r w:rsidRPr="0028072E">
        <w:rPr>
          <w:color w:val="000000" w:themeColor="text1"/>
        </w:rPr>
        <w:t xml:space="preserve">in the VEC’s preliminary report for this review. </w:t>
      </w:r>
    </w:p>
    <w:p w14:paraId="77D025DA" w14:textId="77777777" w:rsidR="00F66E14" w:rsidRPr="0028072E" w:rsidRDefault="00F66E14" w:rsidP="004C6E14">
      <w:pPr>
        <w:pStyle w:val="BodyText"/>
        <w:rPr>
          <w:color w:val="000000" w:themeColor="text1"/>
        </w:rPr>
      </w:pPr>
      <w:r w:rsidRPr="0028072E">
        <w:rPr>
          <w:color w:val="000000" w:themeColor="text1"/>
        </w:rPr>
        <w:t>If this recommendation is accepted, any changes to the number of councillors and electoral structure will apply at the October 2020 general election.</w:t>
      </w:r>
    </w:p>
    <w:p w14:paraId="07490C24" w14:textId="77777777" w:rsidR="00F66E14" w:rsidRPr="00EF4ACB" w:rsidRDefault="00F66E14" w:rsidP="004C6E14">
      <w:pPr>
        <w:pStyle w:val="BodyText"/>
      </w:pPr>
      <w:r w:rsidRPr="0028072E">
        <w:t>Please see Appendix 2 for a detailed map of this recommended</w:t>
      </w:r>
      <w:r w:rsidRPr="00EF4ACB">
        <w:t xml:space="preserve"> structure.</w:t>
      </w:r>
    </w:p>
    <w:p w14:paraId="186382F1" w14:textId="77777777" w:rsidR="00F66E14" w:rsidRPr="00EF4ACB" w:rsidRDefault="00F66E14" w:rsidP="002E7F9A">
      <w:pPr>
        <w:pStyle w:val="BodyText"/>
      </w:pPr>
    </w:p>
    <w:p w14:paraId="3CA3246E" w14:textId="77777777" w:rsidR="00F66E14" w:rsidRPr="00EF4ACB" w:rsidRDefault="00F66E14" w:rsidP="00F5118B">
      <w:pPr>
        <w:pStyle w:val="Heading1"/>
        <w:rPr>
          <w:rFonts w:ascii="Century Gothic" w:hAnsi="Century Gothic"/>
        </w:rPr>
      </w:pPr>
      <w:r w:rsidRPr="00EF4ACB">
        <w:rPr>
          <w:rFonts w:ascii="Century Gothic" w:hAnsi="Century Gothic"/>
        </w:rPr>
        <w:br w:type="page"/>
      </w:r>
      <w:bookmarkStart w:id="20" w:name="_Toc32584000"/>
      <w:r w:rsidRPr="00EF4ACB">
        <w:rPr>
          <w:rFonts w:ascii="Century Gothic" w:hAnsi="Century Gothic"/>
        </w:rPr>
        <w:lastRenderedPageBreak/>
        <w:t>Appendix 1: Public involvement</w:t>
      </w:r>
      <w:bookmarkEnd w:id="20"/>
    </w:p>
    <w:p w14:paraId="59B9515F" w14:textId="77777777" w:rsidR="00F66E14" w:rsidRPr="00EF4ACB" w:rsidRDefault="00F66E14" w:rsidP="00164847">
      <w:pPr>
        <w:pStyle w:val="Heading2noTOC"/>
      </w:pPr>
      <w:r w:rsidRPr="00EF4ACB">
        <w:t>Preliminary submissions</w:t>
      </w:r>
    </w:p>
    <w:p w14:paraId="3573994E" w14:textId="77777777" w:rsidR="00F66E14" w:rsidRPr="000763F8" w:rsidRDefault="00F66E14" w:rsidP="00540F3B">
      <w:pPr>
        <w:pStyle w:val="BodyText"/>
      </w:pPr>
      <w:r w:rsidRPr="000763F8">
        <w:t>Preliminary submissions were made by:</w:t>
      </w:r>
    </w:p>
    <w:p w14:paraId="2ECD1F7A" w14:textId="77777777" w:rsidR="000763F8" w:rsidRPr="000763F8" w:rsidRDefault="000763F8" w:rsidP="000763F8">
      <w:pPr>
        <w:pStyle w:val="BodyText"/>
        <w:ind w:left="720"/>
      </w:pPr>
      <w:r w:rsidRPr="000763F8">
        <w:t>Condon, Thomas</w:t>
      </w:r>
    </w:p>
    <w:p w14:paraId="0E3D5281" w14:textId="77777777" w:rsidR="000763F8" w:rsidRPr="000763F8" w:rsidRDefault="000763F8" w:rsidP="000763F8">
      <w:pPr>
        <w:pStyle w:val="BodyText"/>
        <w:ind w:left="720"/>
      </w:pPr>
      <w:r w:rsidRPr="000763F8">
        <w:t>Hare, Sue</w:t>
      </w:r>
    </w:p>
    <w:p w14:paraId="6192E7C4" w14:textId="77777777" w:rsidR="000763F8" w:rsidRPr="000763F8" w:rsidRDefault="000763F8" w:rsidP="000763F8">
      <w:pPr>
        <w:pStyle w:val="BodyText"/>
        <w:ind w:left="720"/>
      </w:pPr>
      <w:r w:rsidRPr="000763F8">
        <w:t>Mansfield Branch VFF</w:t>
      </w:r>
    </w:p>
    <w:p w14:paraId="5BD2404A" w14:textId="77777777" w:rsidR="000763F8" w:rsidRPr="000763F8" w:rsidRDefault="000763F8" w:rsidP="000763F8">
      <w:pPr>
        <w:pStyle w:val="BodyText"/>
        <w:ind w:left="720"/>
      </w:pPr>
      <w:r w:rsidRPr="000763F8">
        <w:t>Newman, Adam</w:t>
      </w:r>
    </w:p>
    <w:p w14:paraId="2BF93AEA" w14:textId="77777777" w:rsidR="000763F8" w:rsidRPr="000763F8" w:rsidRDefault="000763F8" w:rsidP="000763F8">
      <w:pPr>
        <w:pStyle w:val="BodyText"/>
        <w:ind w:left="720"/>
      </w:pPr>
      <w:r w:rsidRPr="000763F8">
        <w:t>Proportional Representation Society of Australia (Victoria-Tasmania) Inc</w:t>
      </w:r>
    </w:p>
    <w:p w14:paraId="1355E94B" w14:textId="77777777" w:rsidR="000763F8" w:rsidRPr="000763F8" w:rsidRDefault="000763F8" w:rsidP="000763F8">
      <w:pPr>
        <w:pStyle w:val="BodyText"/>
        <w:ind w:left="720"/>
      </w:pPr>
      <w:proofErr w:type="spellStart"/>
      <w:r w:rsidRPr="000763F8">
        <w:t>Tehan</w:t>
      </w:r>
      <w:proofErr w:type="spellEnd"/>
      <w:r w:rsidRPr="000763F8">
        <w:t>, Joan</w:t>
      </w:r>
    </w:p>
    <w:p w14:paraId="61E3A442" w14:textId="77777777" w:rsidR="000763F8" w:rsidRPr="000763F8" w:rsidRDefault="000763F8" w:rsidP="000763F8">
      <w:pPr>
        <w:pStyle w:val="BodyText"/>
        <w:ind w:left="720"/>
      </w:pPr>
      <w:proofErr w:type="spellStart"/>
      <w:r w:rsidRPr="000763F8">
        <w:t>Tehan</w:t>
      </w:r>
      <w:proofErr w:type="spellEnd"/>
      <w:r w:rsidRPr="000763F8">
        <w:t>, Tony</w:t>
      </w:r>
    </w:p>
    <w:p w14:paraId="752152C9" w14:textId="77777777" w:rsidR="000763F8" w:rsidRPr="000763F8" w:rsidRDefault="000763F8" w:rsidP="000763F8">
      <w:pPr>
        <w:pStyle w:val="BodyText"/>
        <w:ind w:left="720"/>
      </w:pPr>
      <w:proofErr w:type="spellStart"/>
      <w:r w:rsidRPr="000763F8">
        <w:t>Volkering</w:t>
      </w:r>
      <w:proofErr w:type="spellEnd"/>
      <w:r w:rsidRPr="000763F8">
        <w:t>, Paul (Councillor)</w:t>
      </w:r>
    </w:p>
    <w:p w14:paraId="1A71EEEB" w14:textId="77777777" w:rsidR="000763F8" w:rsidRPr="000763F8" w:rsidRDefault="000763F8" w:rsidP="000763F8">
      <w:pPr>
        <w:pStyle w:val="BodyText"/>
        <w:ind w:left="720"/>
      </w:pPr>
      <w:proofErr w:type="spellStart"/>
      <w:r w:rsidRPr="000763F8">
        <w:t>Westendorp</w:t>
      </w:r>
      <w:proofErr w:type="spellEnd"/>
      <w:r w:rsidRPr="000763F8">
        <w:t>, Harry (Councillor)</w:t>
      </w:r>
    </w:p>
    <w:p w14:paraId="1FE777A1" w14:textId="77777777" w:rsidR="000763F8" w:rsidRPr="000763F8" w:rsidRDefault="000763F8" w:rsidP="000763F8">
      <w:pPr>
        <w:pStyle w:val="BodyText"/>
        <w:ind w:left="720"/>
      </w:pPr>
      <w:proofErr w:type="spellStart"/>
      <w:r w:rsidRPr="000763F8">
        <w:t>Yenckens</w:t>
      </w:r>
      <w:proofErr w:type="spellEnd"/>
      <w:r w:rsidRPr="000763F8">
        <w:t>, James</w:t>
      </w:r>
    </w:p>
    <w:p w14:paraId="0DE50F31" w14:textId="77777777" w:rsidR="00F66E14" w:rsidRPr="00EF4ACB" w:rsidRDefault="00F66E14" w:rsidP="00164847">
      <w:pPr>
        <w:pStyle w:val="Heading2noTOC"/>
      </w:pPr>
      <w:r w:rsidRPr="00EF4ACB">
        <w:t>Response submissions</w:t>
      </w:r>
    </w:p>
    <w:p w14:paraId="27848B04" w14:textId="77777777" w:rsidR="00F66E14" w:rsidRPr="00EF4ACB" w:rsidRDefault="00F66E14" w:rsidP="00D16B01">
      <w:pPr>
        <w:pStyle w:val="BodyText"/>
      </w:pPr>
      <w:r w:rsidRPr="00EF4ACB">
        <w:t>Response submissions were made by:</w:t>
      </w:r>
    </w:p>
    <w:p w14:paraId="22D5E57B" w14:textId="77777777" w:rsidR="008C2114" w:rsidRDefault="008C2114" w:rsidP="00BC18C0">
      <w:pPr>
        <w:pStyle w:val="BodyText"/>
        <w:ind w:left="720"/>
      </w:pPr>
      <w:r>
        <w:t>Adams, Geoffrey and Maureen</w:t>
      </w:r>
    </w:p>
    <w:p w14:paraId="02D16F09" w14:textId="77777777" w:rsidR="00C41B87" w:rsidRDefault="00C41B87" w:rsidP="00BC18C0">
      <w:pPr>
        <w:pStyle w:val="BodyText"/>
        <w:ind w:left="720"/>
      </w:pPr>
      <w:r>
        <w:t>Adams, Peter and Kathryn</w:t>
      </w:r>
    </w:p>
    <w:p w14:paraId="379D6D75" w14:textId="77777777" w:rsidR="00C124C2" w:rsidRDefault="00C124C2" w:rsidP="00BC18C0">
      <w:pPr>
        <w:pStyle w:val="BodyText"/>
        <w:ind w:left="720"/>
      </w:pPr>
      <w:r>
        <w:t>Breen, Jim</w:t>
      </w:r>
    </w:p>
    <w:p w14:paraId="2D7CFC65" w14:textId="77777777" w:rsidR="00C124C2" w:rsidRDefault="00C124C2" w:rsidP="00BC18C0">
      <w:pPr>
        <w:pStyle w:val="BodyText"/>
        <w:ind w:left="720"/>
      </w:pPr>
      <w:r>
        <w:t>Denton, Noel</w:t>
      </w:r>
    </w:p>
    <w:p w14:paraId="2EEB85D6" w14:textId="77777777" w:rsidR="00C124C2" w:rsidRDefault="00C124C2" w:rsidP="00BC18C0">
      <w:pPr>
        <w:pStyle w:val="BodyText"/>
        <w:ind w:left="720"/>
      </w:pPr>
      <w:r>
        <w:t>Leslie, John</w:t>
      </w:r>
    </w:p>
    <w:p w14:paraId="1C7A1FBC" w14:textId="77777777" w:rsidR="001B7181" w:rsidRDefault="001B7181" w:rsidP="001B7181">
      <w:pPr>
        <w:pStyle w:val="BodyText"/>
        <w:ind w:left="720"/>
      </w:pPr>
      <w:r>
        <w:t>Newman, Adam</w:t>
      </w:r>
    </w:p>
    <w:p w14:paraId="14204398" w14:textId="55EC57B5" w:rsidR="00CE18FA" w:rsidRDefault="00CE18FA" w:rsidP="00CE18FA">
      <w:pPr>
        <w:pStyle w:val="BodyText"/>
        <w:ind w:left="720"/>
      </w:pPr>
      <w:r w:rsidRPr="000763F8">
        <w:t>Proportional Representation Society of Australia (Victoria-Tasmania) Inc</w:t>
      </w:r>
      <w:r w:rsidR="008F3246">
        <w:t>.</w:t>
      </w:r>
    </w:p>
    <w:p w14:paraId="34CDDEF5" w14:textId="77777777" w:rsidR="00C124C2" w:rsidRDefault="00C124C2" w:rsidP="00BC18C0">
      <w:pPr>
        <w:pStyle w:val="BodyText"/>
        <w:ind w:left="720"/>
      </w:pPr>
      <w:proofErr w:type="spellStart"/>
      <w:r>
        <w:t>Wahren</w:t>
      </w:r>
      <w:proofErr w:type="spellEnd"/>
      <w:r>
        <w:t>, Michael</w:t>
      </w:r>
    </w:p>
    <w:p w14:paraId="58EF3472" w14:textId="77777777" w:rsidR="00F66E14" w:rsidRPr="00EF4ACB" w:rsidRDefault="00F66E14" w:rsidP="00164847">
      <w:pPr>
        <w:pStyle w:val="Heading2noTOC"/>
      </w:pPr>
      <w:r w:rsidRPr="00EF4ACB">
        <w:t>Public hearing</w:t>
      </w:r>
    </w:p>
    <w:p w14:paraId="6BBBD247" w14:textId="77777777" w:rsidR="00F66E14" w:rsidRPr="00EF4ACB" w:rsidRDefault="00F66E14" w:rsidP="00D16B01">
      <w:pPr>
        <w:pStyle w:val="BodyText"/>
      </w:pPr>
      <w:r w:rsidRPr="00EF4ACB">
        <w:t>The following individuals spoke at the public hearing:</w:t>
      </w:r>
    </w:p>
    <w:p w14:paraId="1F7ED7F8" w14:textId="77777777" w:rsidR="008D304A" w:rsidRDefault="008D304A" w:rsidP="008D304A">
      <w:pPr>
        <w:pStyle w:val="BodyText"/>
        <w:ind w:left="720"/>
      </w:pPr>
      <w:proofErr w:type="spellStart"/>
      <w:r>
        <w:t>Wahren</w:t>
      </w:r>
      <w:proofErr w:type="spellEnd"/>
      <w:r>
        <w:t>, Michael</w:t>
      </w:r>
    </w:p>
    <w:p w14:paraId="60300767" w14:textId="77777777" w:rsidR="00F66E14" w:rsidRPr="00EF4ACB" w:rsidRDefault="00F66E14" w:rsidP="00540F3B">
      <w:pPr>
        <w:pStyle w:val="BodyText"/>
      </w:pPr>
    </w:p>
    <w:p w14:paraId="2D98F11B" w14:textId="77777777" w:rsidR="00F66E14" w:rsidRPr="00EF4ACB" w:rsidRDefault="00F66E14" w:rsidP="00710029">
      <w:pPr>
        <w:pStyle w:val="Heading1"/>
        <w:rPr>
          <w:rFonts w:ascii="Century Gothic" w:hAnsi="Century Gothic"/>
        </w:rPr>
      </w:pPr>
      <w:r w:rsidRPr="00EF4ACB">
        <w:rPr>
          <w:rFonts w:ascii="Century Gothic" w:hAnsi="Century Gothic"/>
        </w:rPr>
        <w:br w:type="page"/>
      </w:r>
      <w:bookmarkStart w:id="21" w:name="_Toc32584001"/>
      <w:r w:rsidRPr="00EF4ACB">
        <w:rPr>
          <w:rFonts w:ascii="Century Gothic" w:hAnsi="Century Gothic"/>
        </w:rPr>
        <w:lastRenderedPageBreak/>
        <w:t>Appendix 2: Map</w:t>
      </w:r>
      <w:bookmarkEnd w:id="21"/>
    </w:p>
    <w:p w14:paraId="5F6667DB" w14:textId="77777777" w:rsidR="006971EF" w:rsidRDefault="006971EF" w:rsidP="006971EF">
      <w:pPr>
        <w:pStyle w:val="BodyText"/>
      </w:pPr>
    </w:p>
    <w:p w14:paraId="76AB2E99" w14:textId="77777777" w:rsidR="006971EF" w:rsidRDefault="006971EF" w:rsidP="006971EF">
      <w:pPr>
        <w:pStyle w:val="BodyText"/>
      </w:pPr>
    </w:p>
    <w:p w14:paraId="20278EF5" w14:textId="77777777" w:rsidR="006971EF" w:rsidRDefault="006971EF" w:rsidP="006971EF">
      <w:pPr>
        <w:pStyle w:val="BodyText"/>
      </w:pPr>
    </w:p>
    <w:p w14:paraId="28A40BB8" w14:textId="77777777" w:rsidR="006971EF" w:rsidRDefault="006971EF" w:rsidP="006971EF">
      <w:pPr>
        <w:pStyle w:val="BodyText"/>
      </w:pPr>
    </w:p>
    <w:p w14:paraId="38626CF5" w14:textId="77777777" w:rsidR="006971EF" w:rsidRDefault="006971EF" w:rsidP="006971EF">
      <w:pPr>
        <w:pStyle w:val="BodyText"/>
      </w:pPr>
    </w:p>
    <w:p w14:paraId="32FAC80C" w14:textId="77777777" w:rsidR="006971EF" w:rsidRDefault="006971EF" w:rsidP="006971EF">
      <w:pPr>
        <w:pStyle w:val="BodyText"/>
      </w:pPr>
    </w:p>
    <w:p w14:paraId="59D9546B" w14:textId="77777777" w:rsidR="006971EF" w:rsidRDefault="006971EF" w:rsidP="006971EF">
      <w:pPr>
        <w:pStyle w:val="BodyText"/>
      </w:pPr>
    </w:p>
    <w:p w14:paraId="01886178" w14:textId="77777777" w:rsidR="006971EF" w:rsidRDefault="006971EF" w:rsidP="006971EF">
      <w:pPr>
        <w:pStyle w:val="BodyText"/>
      </w:pPr>
    </w:p>
    <w:p w14:paraId="680FEED7" w14:textId="77777777" w:rsidR="006971EF" w:rsidRDefault="006971EF" w:rsidP="006971EF">
      <w:pPr>
        <w:pStyle w:val="BodyText"/>
      </w:pPr>
    </w:p>
    <w:p w14:paraId="464A9B6D" w14:textId="77777777" w:rsidR="006971EF" w:rsidRDefault="006971EF" w:rsidP="006971EF">
      <w:pPr>
        <w:pStyle w:val="BodyText"/>
      </w:pPr>
    </w:p>
    <w:p w14:paraId="37398A6D" w14:textId="77777777" w:rsidR="006971EF" w:rsidRPr="006971EF" w:rsidRDefault="006971EF" w:rsidP="006971EF">
      <w:pPr>
        <w:pStyle w:val="BodyText"/>
        <w:jc w:val="center"/>
      </w:pPr>
      <w:r w:rsidRPr="006971EF">
        <w:t>The map is provided on the next page.</w:t>
      </w:r>
    </w:p>
    <w:p w14:paraId="35804BAB" w14:textId="77777777" w:rsidR="006971EF" w:rsidRDefault="006971EF" w:rsidP="006971EF">
      <w:pPr>
        <w:rPr>
          <w:rFonts w:ascii="Century Gothic" w:hAnsi="Century Gothic"/>
        </w:rPr>
      </w:pPr>
      <w:r>
        <w:br w:type="page"/>
      </w:r>
    </w:p>
    <w:p w14:paraId="2823B7B1" w14:textId="3BD95535" w:rsidR="00372ADE" w:rsidRDefault="00CF22B3" w:rsidP="00372ADE">
      <w:pPr>
        <w:pStyle w:val="BodyText"/>
      </w:pPr>
      <w:r>
        <w:rPr>
          <w:noProof/>
        </w:rPr>
        <w:lastRenderedPageBreak/>
        <w:drawing>
          <wp:anchor distT="0" distB="0" distL="114300" distR="114300" simplePos="0" relativeHeight="251669504" behindDoc="0" locked="0" layoutInCell="1" allowOverlap="1" wp14:anchorId="30641BBD" wp14:editId="02A6BC74">
            <wp:simplePos x="0" y="0"/>
            <wp:positionH relativeFrom="page">
              <wp:align>center</wp:align>
            </wp:positionH>
            <wp:positionV relativeFrom="paragraph">
              <wp:posOffset>-642746</wp:posOffset>
            </wp:positionV>
            <wp:extent cx="6896065" cy="9753788"/>
            <wp:effectExtent l="0" t="0" r="635" b="0"/>
            <wp:wrapNone/>
            <wp:docPr id="3" name="Picture 3" descr="A picture containing tex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ANSfield.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896065" cy="9753788"/>
                    </a:xfrm>
                    <a:prstGeom prst="rect">
                      <a:avLst/>
                    </a:prstGeom>
                  </pic:spPr>
                </pic:pic>
              </a:graphicData>
            </a:graphic>
            <wp14:sizeRelH relativeFrom="page">
              <wp14:pctWidth>0</wp14:pctWidth>
            </wp14:sizeRelH>
            <wp14:sizeRelV relativeFrom="page">
              <wp14:pctHeight>0</wp14:pctHeight>
            </wp14:sizeRelV>
          </wp:anchor>
        </w:drawing>
      </w:r>
    </w:p>
    <w:p w14:paraId="28798B7B" w14:textId="4243BDE8" w:rsidR="00372ADE" w:rsidRDefault="00F66E14" w:rsidP="00372ADE">
      <w:pPr>
        <w:pStyle w:val="BodyText"/>
      </w:pPr>
      <w:r w:rsidRPr="00EF4ACB">
        <w:br w:type="page"/>
      </w:r>
      <w:bookmarkStart w:id="22" w:name="_Toc32584002"/>
    </w:p>
    <w:p w14:paraId="567A13B9" w14:textId="0C8369AB" w:rsidR="00F66E14" w:rsidRPr="00372ADE" w:rsidRDefault="00F66E14" w:rsidP="00372ADE">
      <w:pPr>
        <w:pStyle w:val="Heading1numbered"/>
        <w:rPr>
          <w:rFonts w:ascii="Century Gothic" w:hAnsi="Century Gothic"/>
        </w:rPr>
      </w:pPr>
      <w:r w:rsidRPr="00372ADE">
        <w:rPr>
          <w:rFonts w:ascii="Century Gothic" w:hAnsi="Century Gothic"/>
        </w:rPr>
        <w:lastRenderedPageBreak/>
        <w:t>Appendix 3: Public information program</w:t>
      </w:r>
      <w:bookmarkEnd w:id="22"/>
    </w:p>
    <w:p w14:paraId="245379E7" w14:textId="77777777" w:rsidR="00F66E14" w:rsidRPr="00EF4ACB" w:rsidRDefault="00F66E14" w:rsidP="00C31A51">
      <w:pPr>
        <w:pStyle w:val="Heading2noTOC"/>
      </w:pPr>
      <w:r w:rsidRPr="00EF4ACB">
        <w:t>Advertising</w:t>
      </w:r>
    </w:p>
    <w:p w14:paraId="3178474B" w14:textId="77777777" w:rsidR="00F66E14" w:rsidRPr="00EF4ACB" w:rsidRDefault="00F66E14" w:rsidP="00C31A51">
      <w:pPr>
        <w:pStyle w:val="BodyText"/>
      </w:pPr>
      <w:r w:rsidRPr="00EF4ACB">
        <w:t>In accordance with the Act, public notices of the review and the release of the preliminary report were placed in the following newspapers:</w:t>
      </w:r>
    </w:p>
    <w:tbl>
      <w:tblPr>
        <w:tblW w:w="9356" w:type="dxa"/>
        <w:tblInd w:w="108" w:type="dxa"/>
        <w:tblBorders>
          <w:bottom w:val="single" w:sz="4" w:space="0" w:color="auto"/>
        </w:tblBorders>
        <w:tblLayout w:type="fixed"/>
        <w:tblLook w:val="04A0" w:firstRow="1" w:lastRow="0" w:firstColumn="1" w:lastColumn="0" w:noHBand="0" w:noVBand="1"/>
      </w:tblPr>
      <w:tblGrid>
        <w:gridCol w:w="2586"/>
        <w:gridCol w:w="3402"/>
        <w:gridCol w:w="3368"/>
      </w:tblGrid>
      <w:tr w:rsidR="00F66E14" w:rsidRPr="00EF4ACB" w14:paraId="2E856274" w14:textId="77777777" w:rsidTr="00E13A45">
        <w:trPr>
          <w:cantSplit/>
          <w:trHeight w:val="80"/>
        </w:trPr>
        <w:tc>
          <w:tcPr>
            <w:tcW w:w="2586" w:type="dxa"/>
            <w:tcBorders>
              <w:top w:val="nil"/>
              <w:left w:val="nil"/>
              <w:bottom w:val="single" w:sz="4" w:space="0" w:color="auto"/>
              <w:right w:val="nil"/>
              <w:tl2br w:val="nil"/>
              <w:tr2bl w:val="nil"/>
            </w:tcBorders>
            <w:shd w:val="clear" w:color="auto" w:fill="E5EEE1"/>
            <w:vAlign w:val="center"/>
          </w:tcPr>
          <w:p w14:paraId="6E53E0CF" w14:textId="77777777" w:rsidR="00F66E14" w:rsidRPr="00EF4ACB" w:rsidRDefault="00F66E14" w:rsidP="00F26E1C">
            <w:pPr>
              <w:spacing w:before="60" w:after="60"/>
              <w:rPr>
                <w:rFonts w:ascii="Century Gothic" w:hAnsi="Century Gothic"/>
                <w:b/>
              </w:rPr>
            </w:pPr>
            <w:r w:rsidRPr="00EF4ACB">
              <w:rPr>
                <w:rFonts w:ascii="Century Gothic" w:hAnsi="Century Gothic"/>
                <w:b/>
              </w:rPr>
              <w:t>Newspaper</w:t>
            </w:r>
          </w:p>
        </w:tc>
        <w:tc>
          <w:tcPr>
            <w:tcW w:w="3402" w:type="dxa"/>
            <w:tcBorders>
              <w:top w:val="nil"/>
              <w:left w:val="nil"/>
              <w:bottom w:val="single" w:sz="4" w:space="0" w:color="auto"/>
              <w:right w:val="nil"/>
              <w:tl2br w:val="nil"/>
              <w:tr2bl w:val="nil"/>
            </w:tcBorders>
            <w:shd w:val="clear" w:color="auto" w:fill="E5EEE1"/>
            <w:vAlign w:val="center"/>
          </w:tcPr>
          <w:p w14:paraId="22E459DD" w14:textId="77777777" w:rsidR="00F66E14" w:rsidRPr="00EF4ACB" w:rsidRDefault="00F66E14" w:rsidP="00F26E1C">
            <w:pPr>
              <w:spacing w:before="60" w:after="60"/>
              <w:rPr>
                <w:rFonts w:ascii="Century Gothic" w:hAnsi="Century Gothic"/>
                <w:b/>
              </w:rPr>
            </w:pPr>
            <w:r w:rsidRPr="00EF4ACB">
              <w:rPr>
                <w:rFonts w:ascii="Century Gothic" w:hAnsi="Century Gothic"/>
                <w:b/>
              </w:rPr>
              <w:t>Notice of review</w:t>
            </w:r>
          </w:p>
        </w:tc>
        <w:tc>
          <w:tcPr>
            <w:tcW w:w="3368" w:type="dxa"/>
            <w:tcBorders>
              <w:top w:val="nil"/>
              <w:left w:val="nil"/>
              <w:bottom w:val="single" w:sz="4" w:space="0" w:color="auto"/>
              <w:right w:val="nil"/>
              <w:tl2br w:val="nil"/>
              <w:tr2bl w:val="nil"/>
            </w:tcBorders>
            <w:shd w:val="clear" w:color="auto" w:fill="E5EEE1"/>
            <w:vAlign w:val="center"/>
          </w:tcPr>
          <w:p w14:paraId="2D584615" w14:textId="77777777" w:rsidR="00F66E14" w:rsidRPr="00EF4ACB" w:rsidRDefault="00F66E14" w:rsidP="00F26E1C">
            <w:pPr>
              <w:spacing w:before="60" w:after="60"/>
              <w:rPr>
                <w:rFonts w:ascii="Century Gothic" w:hAnsi="Century Gothic"/>
                <w:b/>
              </w:rPr>
            </w:pPr>
            <w:r w:rsidRPr="00EF4ACB">
              <w:rPr>
                <w:rFonts w:ascii="Century Gothic" w:hAnsi="Century Gothic"/>
                <w:b/>
              </w:rPr>
              <w:t>Notice of preliminary report</w:t>
            </w:r>
          </w:p>
        </w:tc>
      </w:tr>
      <w:tr w:rsidR="00F66E14" w:rsidRPr="00EF4ACB" w14:paraId="26F24A6D" w14:textId="77777777" w:rsidTr="00E13A45">
        <w:trPr>
          <w:cantSplit/>
          <w:trHeight w:val="80"/>
        </w:trPr>
        <w:tc>
          <w:tcPr>
            <w:tcW w:w="2586" w:type="dxa"/>
            <w:tcBorders>
              <w:top w:val="single" w:sz="4" w:space="0" w:color="auto"/>
              <w:bottom w:val="nil"/>
            </w:tcBorders>
            <w:shd w:val="clear" w:color="auto" w:fill="auto"/>
            <w:vAlign w:val="center"/>
          </w:tcPr>
          <w:p w14:paraId="4E1ED947" w14:textId="77777777" w:rsidR="00F66E14" w:rsidRPr="00E13A45" w:rsidRDefault="00F66E14" w:rsidP="00F26E1C">
            <w:pPr>
              <w:spacing w:before="60" w:after="60"/>
              <w:rPr>
                <w:rFonts w:ascii="Century Gothic" w:hAnsi="Century Gothic"/>
                <w:i/>
              </w:rPr>
            </w:pPr>
            <w:bookmarkStart w:id="23" w:name="_Hlk34995940"/>
            <w:r w:rsidRPr="00E13A45">
              <w:rPr>
                <w:rFonts w:ascii="Century Gothic" w:hAnsi="Century Gothic"/>
                <w:i/>
              </w:rPr>
              <w:t>Herald Sun</w:t>
            </w:r>
          </w:p>
        </w:tc>
        <w:tc>
          <w:tcPr>
            <w:tcW w:w="3402" w:type="dxa"/>
            <w:tcBorders>
              <w:top w:val="single" w:sz="4" w:space="0" w:color="auto"/>
              <w:bottom w:val="nil"/>
            </w:tcBorders>
            <w:shd w:val="clear" w:color="auto" w:fill="auto"/>
            <w:vAlign w:val="center"/>
          </w:tcPr>
          <w:p w14:paraId="10824A2B" w14:textId="1940EDC9" w:rsidR="00F66E14" w:rsidRPr="00E13A45" w:rsidRDefault="00372ADE" w:rsidP="00F26E1C">
            <w:pPr>
              <w:spacing w:before="60" w:after="60"/>
              <w:rPr>
                <w:rFonts w:ascii="Century Gothic" w:hAnsi="Century Gothic"/>
              </w:rPr>
            </w:pPr>
            <w:r w:rsidRPr="00E13A45">
              <w:rPr>
                <w:rFonts w:ascii="Century Gothic" w:hAnsi="Century Gothic"/>
              </w:rPr>
              <w:t>Thursday 24 October 2019</w:t>
            </w:r>
          </w:p>
        </w:tc>
        <w:tc>
          <w:tcPr>
            <w:tcW w:w="3368" w:type="dxa"/>
            <w:tcBorders>
              <w:top w:val="single" w:sz="4" w:space="0" w:color="auto"/>
              <w:bottom w:val="nil"/>
            </w:tcBorders>
            <w:shd w:val="clear" w:color="auto" w:fill="auto"/>
            <w:vAlign w:val="center"/>
          </w:tcPr>
          <w:p w14:paraId="71641122" w14:textId="70BAA149" w:rsidR="00F66E14" w:rsidRPr="00E13A45" w:rsidRDefault="00F66E14" w:rsidP="00F26E1C">
            <w:pPr>
              <w:spacing w:before="60" w:after="60"/>
              <w:rPr>
                <w:rFonts w:ascii="Century Gothic" w:hAnsi="Century Gothic"/>
              </w:rPr>
            </w:pPr>
            <w:r w:rsidRPr="00E13A45">
              <w:rPr>
                <w:rFonts w:ascii="Century Gothic" w:hAnsi="Century Gothic"/>
              </w:rPr>
              <w:t xml:space="preserve">Wednesday </w:t>
            </w:r>
            <w:r w:rsidR="00372ADE" w:rsidRPr="00E13A45">
              <w:rPr>
                <w:rFonts w:ascii="Century Gothic" w:hAnsi="Century Gothic"/>
              </w:rPr>
              <w:t>2</w:t>
            </w:r>
            <w:r w:rsidRPr="00E13A45">
              <w:rPr>
                <w:rFonts w:ascii="Century Gothic" w:hAnsi="Century Gothic"/>
              </w:rPr>
              <w:t xml:space="preserve">9 </w:t>
            </w:r>
            <w:r w:rsidR="00372ADE" w:rsidRPr="00E13A45">
              <w:rPr>
                <w:rFonts w:ascii="Century Gothic" w:hAnsi="Century Gothic"/>
              </w:rPr>
              <w:t>January 2020</w:t>
            </w:r>
          </w:p>
        </w:tc>
      </w:tr>
      <w:bookmarkEnd w:id="23"/>
      <w:tr w:rsidR="00F66E14" w:rsidRPr="00EF4ACB" w14:paraId="5DB1E8B0" w14:textId="77777777" w:rsidTr="00E13A45">
        <w:trPr>
          <w:cantSplit/>
          <w:trHeight w:val="80"/>
        </w:trPr>
        <w:tc>
          <w:tcPr>
            <w:tcW w:w="2586" w:type="dxa"/>
            <w:tcBorders>
              <w:top w:val="nil"/>
              <w:left w:val="nil"/>
              <w:bottom w:val="single" w:sz="4" w:space="0" w:color="auto"/>
              <w:right w:val="nil"/>
              <w:tl2br w:val="nil"/>
              <w:tr2bl w:val="nil"/>
            </w:tcBorders>
            <w:shd w:val="clear" w:color="auto" w:fill="E5EEE1"/>
            <w:vAlign w:val="center"/>
          </w:tcPr>
          <w:p w14:paraId="381E01DA" w14:textId="740985F9" w:rsidR="00F66E14" w:rsidRPr="00E13A45" w:rsidRDefault="00372ADE" w:rsidP="00F26E1C">
            <w:pPr>
              <w:spacing w:before="60" w:after="60"/>
              <w:rPr>
                <w:rFonts w:ascii="Century Gothic" w:hAnsi="Century Gothic"/>
                <w:i/>
              </w:rPr>
            </w:pPr>
            <w:r w:rsidRPr="00E13A45">
              <w:rPr>
                <w:rFonts w:ascii="Century Gothic" w:hAnsi="Century Gothic"/>
                <w:i/>
              </w:rPr>
              <w:t>Mansfield Courier</w:t>
            </w:r>
          </w:p>
        </w:tc>
        <w:tc>
          <w:tcPr>
            <w:tcW w:w="3402" w:type="dxa"/>
            <w:tcBorders>
              <w:top w:val="nil"/>
              <w:left w:val="nil"/>
              <w:bottom w:val="single" w:sz="4" w:space="0" w:color="auto"/>
              <w:right w:val="nil"/>
              <w:tl2br w:val="nil"/>
              <w:tr2bl w:val="nil"/>
            </w:tcBorders>
            <w:shd w:val="clear" w:color="auto" w:fill="E5EEE1"/>
            <w:vAlign w:val="center"/>
          </w:tcPr>
          <w:p w14:paraId="7239E242" w14:textId="21DCE9C0" w:rsidR="00F66E14" w:rsidRPr="00E13A45" w:rsidRDefault="00E13A45" w:rsidP="00F26E1C">
            <w:pPr>
              <w:spacing w:before="60" w:after="60"/>
              <w:rPr>
                <w:rFonts w:ascii="Century Gothic" w:hAnsi="Century Gothic"/>
              </w:rPr>
            </w:pPr>
            <w:r w:rsidRPr="00E13A45">
              <w:rPr>
                <w:rFonts w:ascii="Century Gothic" w:hAnsi="Century Gothic"/>
              </w:rPr>
              <w:t>Wednesday 23 October 2019</w:t>
            </w:r>
          </w:p>
        </w:tc>
        <w:tc>
          <w:tcPr>
            <w:tcW w:w="3368" w:type="dxa"/>
            <w:tcBorders>
              <w:top w:val="nil"/>
              <w:left w:val="nil"/>
              <w:bottom w:val="single" w:sz="4" w:space="0" w:color="auto"/>
              <w:right w:val="nil"/>
              <w:tl2br w:val="nil"/>
              <w:tr2bl w:val="nil"/>
            </w:tcBorders>
            <w:shd w:val="clear" w:color="auto" w:fill="E5EEE1"/>
            <w:vAlign w:val="center"/>
          </w:tcPr>
          <w:p w14:paraId="31A9E48E" w14:textId="37BB3D9B" w:rsidR="00F66E14" w:rsidRPr="00E13A45" w:rsidRDefault="00372ADE" w:rsidP="00F26E1C">
            <w:pPr>
              <w:spacing w:before="60" w:after="60"/>
              <w:rPr>
                <w:rFonts w:ascii="Century Gothic" w:hAnsi="Century Gothic"/>
              </w:rPr>
            </w:pPr>
            <w:r w:rsidRPr="00E13A45">
              <w:rPr>
                <w:rFonts w:ascii="Century Gothic" w:hAnsi="Century Gothic"/>
              </w:rPr>
              <w:t>Wednesday 29 January 2020</w:t>
            </w:r>
          </w:p>
        </w:tc>
      </w:tr>
    </w:tbl>
    <w:p w14:paraId="74A159B9" w14:textId="77777777" w:rsidR="00F66E14" w:rsidRPr="00EF4ACB" w:rsidRDefault="00F66E14" w:rsidP="00431162">
      <w:pPr>
        <w:pStyle w:val="Heading2noTOC"/>
        <w:spacing w:before="320"/>
      </w:pPr>
      <w:r w:rsidRPr="00EF4ACB">
        <w:t>Media releases</w:t>
      </w:r>
    </w:p>
    <w:p w14:paraId="6CFC0F4E" w14:textId="55BB1C07" w:rsidR="00F66E14" w:rsidRPr="00EF4ACB" w:rsidRDefault="00F66E14" w:rsidP="00C31A51">
      <w:pPr>
        <w:pStyle w:val="BodyText"/>
      </w:pPr>
      <w:r w:rsidRPr="00EF4ACB">
        <w:t xml:space="preserve">A media release was </w:t>
      </w:r>
      <w:r w:rsidRPr="00DE11C1">
        <w:t xml:space="preserve">prepared and distributed to local media to promote the commencement of the review on </w:t>
      </w:r>
      <w:r w:rsidRPr="00DE11C1">
        <w:rPr>
          <w:noProof/>
        </w:rPr>
        <w:t xml:space="preserve">Wednesday </w:t>
      </w:r>
      <w:r w:rsidR="00E13A45">
        <w:rPr>
          <w:noProof/>
        </w:rPr>
        <w:t>23</w:t>
      </w:r>
      <w:r w:rsidRPr="00DE11C1">
        <w:rPr>
          <w:noProof/>
        </w:rPr>
        <w:t xml:space="preserve"> October 2019</w:t>
      </w:r>
      <w:r w:rsidRPr="00DE11C1">
        <w:t>.</w:t>
      </w:r>
      <w:r w:rsidRPr="00EF4ACB">
        <w:t xml:space="preserve"> A further release was distributed with the publication of the pr</w:t>
      </w:r>
      <w:r w:rsidRPr="00DB59DF">
        <w:t xml:space="preserve">eliminary report on </w:t>
      </w:r>
      <w:r w:rsidRPr="00DB59DF">
        <w:rPr>
          <w:noProof/>
        </w:rPr>
        <w:t>Wednesday 29 January 2020</w:t>
      </w:r>
      <w:r w:rsidRPr="00DB59DF">
        <w:t>. A final media advisory was circulated on the publication</w:t>
      </w:r>
      <w:r w:rsidRPr="00EF4ACB">
        <w:t xml:space="preserve"> date of this final report.</w:t>
      </w:r>
    </w:p>
    <w:p w14:paraId="1CE42258" w14:textId="77777777" w:rsidR="00F66E14" w:rsidRPr="00A2406E" w:rsidRDefault="00F66E14" w:rsidP="008851C8">
      <w:pPr>
        <w:pStyle w:val="Heading2noTOC"/>
      </w:pPr>
      <w:r w:rsidRPr="00A2406E">
        <w:t>Public information session</w:t>
      </w:r>
    </w:p>
    <w:p w14:paraId="770638F2" w14:textId="77777777" w:rsidR="00F66E14" w:rsidRPr="00A2406E" w:rsidRDefault="00F66E14" w:rsidP="00A2406E">
      <w:pPr>
        <w:pStyle w:val="BodyText"/>
      </w:pPr>
      <w:r w:rsidRPr="00A2406E">
        <w:t>A public information session for people interested in the review process was held on</w:t>
      </w:r>
      <w:r w:rsidR="00A2406E" w:rsidRPr="00A2406E">
        <w:t xml:space="preserve"> </w:t>
      </w:r>
      <w:r w:rsidRPr="00A2406E">
        <w:rPr>
          <w:noProof/>
        </w:rPr>
        <w:t xml:space="preserve">Thursday 31 October 2019 </w:t>
      </w:r>
      <w:r w:rsidRPr="00A2406E">
        <w:t xml:space="preserve">in </w:t>
      </w:r>
      <w:r w:rsidR="00DE11C1" w:rsidRPr="00A2406E">
        <w:t xml:space="preserve">the </w:t>
      </w:r>
      <w:r w:rsidRPr="00A2406E">
        <w:rPr>
          <w:noProof/>
        </w:rPr>
        <w:t>Council Chambers, 33 Highett Street, Mansfield</w:t>
      </w:r>
      <w:r w:rsidR="00A2406E" w:rsidRPr="00A2406E">
        <w:rPr>
          <w:noProof/>
        </w:rPr>
        <w:t>.</w:t>
      </w:r>
    </w:p>
    <w:p w14:paraId="44C397D8" w14:textId="77777777" w:rsidR="00F66E14" w:rsidRPr="00EF4ACB" w:rsidRDefault="00F66E14" w:rsidP="008851C8">
      <w:pPr>
        <w:pStyle w:val="Heading2noTOC"/>
      </w:pPr>
      <w:r w:rsidRPr="00EF4ACB">
        <w:t>Submissions guide</w:t>
      </w:r>
    </w:p>
    <w:p w14:paraId="1EA52418" w14:textId="77777777" w:rsidR="00F66E14" w:rsidRPr="00EF4ACB" w:rsidRDefault="00F66E14" w:rsidP="008851C8">
      <w:pPr>
        <w:pStyle w:val="BodyText"/>
      </w:pPr>
      <w:r w:rsidRPr="00EF4ACB">
        <w:t xml:space="preserve">A </w:t>
      </w:r>
      <w:r w:rsidRPr="00EF4ACB">
        <w:rPr>
          <w:iCs/>
        </w:rPr>
        <w:t xml:space="preserve">submission guide </w:t>
      </w:r>
      <w:r w:rsidRPr="00EF4ACB">
        <w:t xml:space="preserve">was developed and made available on the VEC website, or in hardcopy on request, throughout the review timeline. The submission guide provided information about the review, the review timeline and how to make submissions to the review. </w:t>
      </w:r>
    </w:p>
    <w:p w14:paraId="40667267" w14:textId="77777777" w:rsidR="00F66E14" w:rsidRPr="00EF4ACB" w:rsidRDefault="00F66E14" w:rsidP="009C274E">
      <w:pPr>
        <w:pStyle w:val="Heading2noTOC"/>
      </w:pPr>
      <w:r w:rsidRPr="00EF4ACB">
        <w:t>Online submission tool</w:t>
      </w:r>
    </w:p>
    <w:p w14:paraId="353FB069" w14:textId="77777777" w:rsidR="00F66E14" w:rsidRPr="00EF4ACB" w:rsidRDefault="00F66E14" w:rsidP="00916667">
      <w:pPr>
        <w:pStyle w:val="BodyText"/>
      </w:pPr>
      <w:r w:rsidRPr="00EF4ACB">
        <w:t xml:space="preserve">An online submission tool was developed and made available during the submission periods of the review. The tool allowed people to make a submission from the VEC website. During the preliminary submission stage, users also had the opportunity to map out their preferred subdivisions through the online submission tool using Boundary Builder. Boundary Builder included real elector numbers so that users could see if their preferred structures and numbers of councillors met the plus-or-minus 10% rule. </w:t>
      </w:r>
    </w:p>
    <w:p w14:paraId="675F8190" w14:textId="77777777" w:rsidR="00F66E14" w:rsidRPr="00EF4ACB" w:rsidRDefault="00F66E14" w:rsidP="009C274E">
      <w:pPr>
        <w:pStyle w:val="Heading2noTOC"/>
      </w:pPr>
      <w:r w:rsidRPr="00EF4ACB">
        <w:lastRenderedPageBreak/>
        <w:t>VEC website</w:t>
      </w:r>
    </w:p>
    <w:p w14:paraId="55FA4DD9" w14:textId="77777777" w:rsidR="00F66E14" w:rsidRPr="00EF4ACB" w:rsidRDefault="00F66E14" w:rsidP="009C274E">
      <w:pPr>
        <w:pStyle w:val="BodyText"/>
      </w:pPr>
      <w:r w:rsidRPr="00EF4ACB">
        <w:t>The VEC website delivered up-to-date information to provide transparency and facilitate public participation during the review process. All public submissions were published on the website.</w:t>
      </w:r>
    </w:p>
    <w:p w14:paraId="7E89642E" w14:textId="77777777" w:rsidR="00F66E14" w:rsidRPr="00EF4ACB" w:rsidRDefault="00F66E14" w:rsidP="00C31A51">
      <w:pPr>
        <w:pStyle w:val="Heading2noTOC"/>
      </w:pPr>
      <w:r w:rsidRPr="00EF4ACB">
        <w:t>Email and social media engagement</w:t>
      </w:r>
    </w:p>
    <w:p w14:paraId="77D53D8E" w14:textId="77777777" w:rsidR="00F66E14" w:rsidRPr="00EF4ACB" w:rsidRDefault="00F66E14" w:rsidP="004665D9">
      <w:pPr>
        <w:pStyle w:val="BodyText"/>
      </w:pPr>
      <w:r w:rsidRPr="00EF4ACB">
        <w:t>The VEC delivered an information email campaign targeted at known community groups and communities of interest in the local council area. This included a reminder email at each milestone of the representation review process.</w:t>
      </w:r>
    </w:p>
    <w:p w14:paraId="4AA772BC" w14:textId="1C36E8D9" w:rsidR="00F66E14" w:rsidRPr="00EF4ACB" w:rsidRDefault="00F66E14" w:rsidP="004665D9">
      <w:pPr>
        <w:pStyle w:val="BodyText"/>
      </w:pPr>
      <w:r w:rsidRPr="00EF4ACB">
        <w:t xml:space="preserve">The VEC also published sponsored social media advertising that was geo-targeted to users within the local council area. This included advertising at both the preliminary submission and response submission </w:t>
      </w:r>
      <w:r w:rsidRPr="009D7704">
        <w:t xml:space="preserve">stages. </w:t>
      </w:r>
      <w:r w:rsidRPr="001E5ACF">
        <w:t xml:space="preserve">The total reach of these posts was </w:t>
      </w:r>
      <w:r w:rsidR="009D7704" w:rsidRPr="001E5ACF">
        <w:t>693</w:t>
      </w:r>
      <w:r w:rsidRPr="001E5ACF">
        <w:t xml:space="preserve"> during the preliminary submission stage and </w:t>
      </w:r>
      <w:r w:rsidR="009D7704" w:rsidRPr="001E5ACF">
        <w:t>1,165</w:t>
      </w:r>
      <w:r w:rsidRPr="001E5ACF">
        <w:t xml:space="preserve"> during the response submission stage.</w:t>
      </w:r>
    </w:p>
    <w:p w14:paraId="14E983C5" w14:textId="77777777" w:rsidR="00F66E14" w:rsidRPr="00EF4ACB" w:rsidRDefault="00F66E14" w:rsidP="00C31A51">
      <w:pPr>
        <w:pStyle w:val="Heading2noTOC"/>
      </w:pPr>
      <w:r w:rsidRPr="00EF4ACB">
        <w:t>Council communication resources</w:t>
      </w:r>
    </w:p>
    <w:p w14:paraId="5D70DE80" w14:textId="77777777" w:rsidR="00F66E14" w:rsidRDefault="00F66E14" w:rsidP="00C31A51">
      <w:pPr>
        <w:pStyle w:val="BodyText"/>
      </w:pPr>
      <w:r w:rsidRPr="00EF4ACB">
        <w:t xml:space="preserve">The VEC provided the Council with a communication pack that included information on the review in various formats. While the council is encouraged to distribute this information and raise awareness about the review, the VEC is an independent reviewer and all communications resources include reference and links to the VEC website and core materials.  </w:t>
      </w:r>
    </w:p>
    <w:p w14:paraId="4E14CEB5" w14:textId="77777777" w:rsidR="00BA2DA8" w:rsidRPr="00EF4ACB" w:rsidRDefault="00BA2DA8" w:rsidP="00C31A51">
      <w:pPr>
        <w:pStyle w:val="BodyText"/>
      </w:pPr>
      <w:bookmarkStart w:id="24" w:name="lastpage2"/>
      <w:bookmarkEnd w:id="24"/>
    </w:p>
    <w:p w14:paraId="0F4AD969" w14:textId="77777777" w:rsidR="00F66E14" w:rsidRPr="00EF4ACB" w:rsidRDefault="00F66E14" w:rsidP="005D6CFA">
      <w:pPr>
        <w:rPr>
          <w:rFonts w:ascii="Century Gothic" w:hAnsi="Century Gothic"/>
        </w:rPr>
      </w:pPr>
    </w:p>
    <w:p w14:paraId="45835AF3" w14:textId="77777777" w:rsidR="00F66E14" w:rsidRPr="00EF4ACB" w:rsidRDefault="00F66E14" w:rsidP="00CC1CC7">
      <w:pPr>
        <w:pStyle w:val="Blankpagenote"/>
        <w:jc w:val="left"/>
        <w:sectPr w:rsidR="00F66E14" w:rsidRPr="00EF4ACB" w:rsidSect="009E6D4C">
          <w:headerReference w:type="even" r:id="rId20"/>
          <w:headerReference w:type="default" r:id="rId21"/>
          <w:footerReference w:type="even" r:id="rId22"/>
          <w:footerReference w:type="default" r:id="rId23"/>
          <w:footerReference w:type="first" r:id="rId24"/>
          <w:pgSz w:w="11906" w:h="16838" w:code="9"/>
          <w:pgMar w:top="1440" w:right="1021" w:bottom="1134" w:left="1440" w:header="709" w:footer="709" w:gutter="0"/>
          <w:pgNumType w:start="1"/>
          <w:cols w:space="708"/>
          <w:docGrid w:linePitch="360"/>
        </w:sectPr>
      </w:pPr>
    </w:p>
    <w:p w14:paraId="5B44F2E5" w14:textId="77777777" w:rsidR="00F66E14" w:rsidRDefault="00F66E14" w:rsidP="00CC1CC7">
      <w:pPr>
        <w:pStyle w:val="Blankpagenote"/>
      </w:pPr>
      <w:r w:rsidRPr="00EF4ACB">
        <w:lastRenderedPageBreak/>
        <w:t>This page has been left intentionally blank</w:t>
      </w:r>
    </w:p>
    <w:p w14:paraId="7F271421" w14:textId="77777777" w:rsidR="00AF52B7" w:rsidRDefault="00AF52B7" w:rsidP="00CC1CC7">
      <w:pPr>
        <w:pStyle w:val="Blankpagenote"/>
      </w:pPr>
    </w:p>
    <w:p w14:paraId="7EDD6E66" w14:textId="77777777" w:rsidR="0044553D" w:rsidRDefault="0044553D" w:rsidP="0044553D">
      <w:pPr>
        <w:pStyle w:val="Blankpagenote"/>
        <w:tabs>
          <w:tab w:val="left" w:pos="5189"/>
        </w:tabs>
        <w:jc w:val="left"/>
      </w:pPr>
    </w:p>
    <w:p w14:paraId="3C3D6198" w14:textId="0C3C42DA" w:rsidR="0044553D" w:rsidRDefault="0044553D" w:rsidP="0044553D">
      <w:pPr>
        <w:pStyle w:val="Blankpagenote"/>
        <w:tabs>
          <w:tab w:val="left" w:pos="5189"/>
        </w:tabs>
      </w:pPr>
      <w:r w:rsidRPr="00EF4ACB">
        <w:t>This page has been left intentionally blank</w:t>
      </w:r>
    </w:p>
    <w:p w14:paraId="28FB3CB3" w14:textId="77777777" w:rsidR="0044553D" w:rsidRDefault="0044553D" w:rsidP="0044553D">
      <w:pPr>
        <w:pStyle w:val="Blankpagenote"/>
      </w:pPr>
    </w:p>
    <w:p w14:paraId="627EC1C5" w14:textId="77777777" w:rsidR="0044553D" w:rsidRDefault="0044553D" w:rsidP="0044553D">
      <w:pPr>
        <w:pStyle w:val="Blankpagenote"/>
      </w:pPr>
    </w:p>
    <w:p w14:paraId="533B17C4" w14:textId="5FB94AFD" w:rsidR="0044553D" w:rsidRDefault="0044553D" w:rsidP="0044553D">
      <w:pPr>
        <w:pStyle w:val="Blankpagenote"/>
      </w:pPr>
      <w:r w:rsidRPr="00EF4ACB">
        <w:t>This page has been left intentionally blank</w:t>
      </w:r>
    </w:p>
    <w:p w14:paraId="1D0B9970" w14:textId="77777777" w:rsidR="0044553D" w:rsidRDefault="0044553D" w:rsidP="0044553D">
      <w:pPr>
        <w:pStyle w:val="Blankpagenote"/>
      </w:pPr>
    </w:p>
    <w:p w14:paraId="193C2722" w14:textId="77777777" w:rsidR="00B64E9D" w:rsidRDefault="00B64E9D" w:rsidP="00AF52B7">
      <w:pPr>
        <w:pStyle w:val="Blankpagenote"/>
        <w:jc w:val="left"/>
        <w:sectPr w:rsidR="00B64E9D" w:rsidSect="00077E48">
          <w:headerReference w:type="even" r:id="rId25"/>
          <w:headerReference w:type="default" r:id="rId26"/>
          <w:footerReference w:type="even" r:id="rId27"/>
          <w:footerReference w:type="default" r:id="rId28"/>
          <w:headerReference w:type="first" r:id="rId29"/>
          <w:footerReference w:type="first" r:id="rId30"/>
          <w:pgSz w:w="11906" w:h="16838" w:code="9"/>
          <w:pgMar w:top="1440" w:right="1021" w:bottom="1134" w:left="1440" w:header="709" w:footer="709" w:gutter="0"/>
          <w:cols w:space="708"/>
          <w:titlePg/>
          <w:docGrid w:linePitch="360"/>
        </w:sectPr>
      </w:pPr>
    </w:p>
    <w:tbl>
      <w:tblPr>
        <w:tblpPr w:leftFromText="180" w:rightFromText="180" w:vertAnchor="page" w:horzAnchor="margin" w:tblpXSpec="right" w:tblpY="2661"/>
        <w:tblW w:w="0" w:type="auto"/>
        <w:tblLayout w:type="fixed"/>
        <w:tblCellMar>
          <w:left w:w="0" w:type="dxa"/>
          <w:right w:w="0" w:type="dxa"/>
        </w:tblCellMar>
        <w:tblLook w:val="04A0" w:firstRow="1" w:lastRow="0" w:firstColumn="1" w:lastColumn="0" w:noHBand="0" w:noVBand="1"/>
      </w:tblPr>
      <w:tblGrid>
        <w:gridCol w:w="2856"/>
        <w:gridCol w:w="33"/>
      </w:tblGrid>
      <w:tr w:rsidR="0044553D" w:rsidRPr="00CD657D" w14:paraId="5C870E09" w14:textId="77777777" w:rsidTr="0044553D">
        <w:trPr>
          <w:gridAfter w:val="1"/>
          <w:wAfter w:w="33" w:type="dxa"/>
        </w:trPr>
        <w:tc>
          <w:tcPr>
            <w:tcW w:w="2856" w:type="dxa"/>
            <w:tcBorders>
              <w:bottom w:val="single" w:sz="4" w:space="0" w:color="auto"/>
            </w:tcBorders>
            <w:shd w:val="clear" w:color="auto" w:fill="auto"/>
            <w:tcMar>
              <w:bottom w:w="120" w:type="dxa"/>
            </w:tcMar>
          </w:tcPr>
          <w:p w14:paraId="06A8C2F4" w14:textId="77777777" w:rsidR="0044553D" w:rsidRPr="009C148F" w:rsidRDefault="0044553D" w:rsidP="0044553D">
            <w:pPr>
              <w:pStyle w:val="VECBackCover"/>
              <w:rPr>
                <w:b/>
                <w:bCs/>
                <w:szCs w:val="17"/>
              </w:rPr>
            </w:pPr>
            <w:r w:rsidRPr="009C148F">
              <w:rPr>
                <w:b/>
                <w:szCs w:val="17"/>
              </w:rPr>
              <w:lastRenderedPageBreak/>
              <w:t xml:space="preserve">© State of Victoria </w:t>
            </w:r>
          </w:p>
          <w:p w14:paraId="134BC311" w14:textId="77777777" w:rsidR="0044553D" w:rsidRPr="009C148F" w:rsidRDefault="0044553D" w:rsidP="0044553D">
            <w:pPr>
              <w:pStyle w:val="VECBackCover"/>
              <w:rPr>
                <w:bCs/>
                <w:szCs w:val="17"/>
              </w:rPr>
            </w:pPr>
            <w:r w:rsidRPr="009C148F">
              <w:rPr>
                <w:bCs/>
                <w:szCs w:val="17"/>
              </w:rPr>
              <w:t>(Victorian Electoral Commission)</w:t>
            </w:r>
            <w:r w:rsidRPr="009C148F">
              <w:rPr>
                <w:b/>
                <w:bCs/>
                <w:szCs w:val="17"/>
                <w:highlight w:val="yellow"/>
              </w:rPr>
              <w:t xml:space="preserve"> </w:t>
            </w:r>
            <w:r>
              <w:rPr>
                <w:b/>
                <w:bCs/>
                <w:szCs w:val="17"/>
              </w:rPr>
              <w:t>March</w:t>
            </w:r>
            <w:r w:rsidRPr="009C148F">
              <w:rPr>
                <w:b/>
                <w:bCs/>
                <w:szCs w:val="17"/>
              </w:rPr>
              <w:t xml:space="preserve"> 2020</w:t>
            </w:r>
          </w:p>
        </w:tc>
      </w:tr>
      <w:tr w:rsidR="0044553D" w14:paraId="57960F91" w14:textId="77777777" w:rsidTr="0044553D">
        <w:trPr>
          <w:gridAfter w:val="1"/>
          <w:wAfter w:w="33" w:type="dxa"/>
        </w:trPr>
        <w:tc>
          <w:tcPr>
            <w:tcW w:w="2856" w:type="dxa"/>
            <w:tcBorders>
              <w:top w:val="single" w:sz="4" w:space="0" w:color="auto"/>
            </w:tcBorders>
            <w:shd w:val="clear" w:color="auto" w:fill="auto"/>
            <w:tcMar>
              <w:top w:w="136" w:type="dxa"/>
              <w:bottom w:w="248" w:type="dxa"/>
            </w:tcMar>
          </w:tcPr>
          <w:p w14:paraId="44324536" w14:textId="77777777" w:rsidR="0044553D" w:rsidRPr="009C148F" w:rsidRDefault="0044553D" w:rsidP="0044553D">
            <w:pPr>
              <w:pStyle w:val="VECBackCover"/>
              <w:rPr>
                <w:bCs/>
              </w:rPr>
            </w:pPr>
            <w:r w:rsidRPr="009C148F">
              <w:rPr>
                <w:bCs/>
              </w:rPr>
              <w:t xml:space="preserve">This work, </w:t>
            </w:r>
            <w:r>
              <w:t>Local Council Representation Review – Final Report Mansfield Shire Council 2019–20</w:t>
            </w:r>
            <w:r w:rsidRPr="009C148F">
              <w:rPr>
                <w:bCs/>
              </w:rPr>
              <w:t>, is licensed under a Creative Commons Attribution 4.0 licence (http://creativecommons.org/ licenses/ by/4.0/). You are free to re-use the work under that licence, on the condition that you credit the State of Victoria (Victorian Electoral Commission) as author, indicate if changes were made and comply with the other licence terms. The licence does not apply to any branding, including government logos.</w:t>
            </w:r>
          </w:p>
        </w:tc>
      </w:tr>
      <w:tr w:rsidR="0044553D" w14:paraId="5ADA3E9A" w14:textId="77777777" w:rsidTr="0044553D">
        <w:tc>
          <w:tcPr>
            <w:tcW w:w="2889" w:type="dxa"/>
            <w:gridSpan w:val="2"/>
            <w:shd w:val="clear" w:color="auto" w:fill="auto"/>
            <w:tcMar>
              <w:bottom w:w="216" w:type="dxa"/>
            </w:tcMar>
          </w:tcPr>
          <w:p w14:paraId="32E01D8B" w14:textId="77777777" w:rsidR="0044553D" w:rsidRPr="009C148F" w:rsidRDefault="0044553D" w:rsidP="0044553D">
            <w:pPr>
              <w:pStyle w:val="VECBackCover"/>
              <w:rPr>
                <w:bCs/>
              </w:rPr>
            </w:pPr>
            <w:r>
              <w:rPr>
                <w:bCs/>
                <w:noProof/>
                <w:sz w:val="16"/>
                <w:szCs w:val="16"/>
                <w:lang w:eastAsia="en-AU"/>
              </w:rPr>
              <w:drawing>
                <wp:inline distT="0" distB="0" distL="0" distR="0" wp14:anchorId="3FDDE131" wp14:editId="3E14F90E">
                  <wp:extent cx="829310" cy="30861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29310" cy="308610"/>
                          </a:xfrm>
                          <a:prstGeom prst="rect">
                            <a:avLst/>
                          </a:prstGeom>
                          <a:noFill/>
                          <a:ln>
                            <a:noFill/>
                          </a:ln>
                        </pic:spPr>
                      </pic:pic>
                    </a:graphicData>
                  </a:graphic>
                </wp:inline>
              </w:drawing>
            </w:r>
          </w:p>
        </w:tc>
      </w:tr>
      <w:tr w:rsidR="0044553D" w14:paraId="5AF81C2F" w14:textId="77777777" w:rsidTr="0044553D">
        <w:tc>
          <w:tcPr>
            <w:tcW w:w="2889" w:type="dxa"/>
            <w:gridSpan w:val="2"/>
            <w:tcBorders>
              <w:bottom w:val="single" w:sz="4" w:space="0" w:color="auto"/>
            </w:tcBorders>
            <w:shd w:val="clear" w:color="auto" w:fill="auto"/>
            <w:tcMar>
              <w:bottom w:w="136" w:type="dxa"/>
            </w:tcMar>
          </w:tcPr>
          <w:p w14:paraId="01A08360" w14:textId="77777777" w:rsidR="0044553D" w:rsidRPr="009C148F" w:rsidRDefault="0044553D" w:rsidP="0044553D">
            <w:pPr>
              <w:pStyle w:val="VECBackCover"/>
              <w:rPr>
                <w:bCs/>
              </w:rPr>
            </w:pPr>
            <w:r w:rsidRPr="009C148F">
              <w:rPr>
                <w:bCs/>
              </w:rPr>
              <w:t>Level 11, 530 Collins Street</w:t>
            </w:r>
          </w:p>
          <w:p w14:paraId="05DC9CCC" w14:textId="77777777" w:rsidR="0044553D" w:rsidRPr="009C148F" w:rsidRDefault="0044553D" w:rsidP="0044553D">
            <w:pPr>
              <w:pStyle w:val="VECBackCover"/>
              <w:rPr>
                <w:bCs/>
              </w:rPr>
            </w:pPr>
            <w:r w:rsidRPr="009C148F">
              <w:rPr>
                <w:bCs/>
              </w:rPr>
              <w:t>Melbourne Victoria 3000</w:t>
            </w:r>
          </w:p>
          <w:p w14:paraId="7B77E3F2" w14:textId="77777777" w:rsidR="0044553D" w:rsidRPr="009C148F" w:rsidRDefault="0044553D" w:rsidP="0044553D">
            <w:pPr>
              <w:pStyle w:val="VECBackCover"/>
              <w:rPr>
                <w:bCs/>
              </w:rPr>
            </w:pPr>
            <w:r w:rsidRPr="009C148F">
              <w:rPr>
                <w:bCs/>
              </w:rPr>
              <w:t>T 131 832</w:t>
            </w:r>
          </w:p>
          <w:p w14:paraId="4170BC33" w14:textId="77777777" w:rsidR="0044553D" w:rsidRPr="009C148F" w:rsidRDefault="0044553D" w:rsidP="0044553D">
            <w:pPr>
              <w:pStyle w:val="VECBackCover"/>
              <w:rPr>
                <w:bCs/>
              </w:rPr>
            </w:pPr>
            <w:r w:rsidRPr="009C148F">
              <w:rPr>
                <w:bCs/>
              </w:rPr>
              <w:t>info@vec.vic.gov.au</w:t>
            </w:r>
          </w:p>
          <w:p w14:paraId="1CF0BFBB" w14:textId="77777777" w:rsidR="0044553D" w:rsidRPr="009C148F" w:rsidRDefault="0044553D" w:rsidP="0044553D">
            <w:pPr>
              <w:pStyle w:val="VECBackCover"/>
              <w:rPr>
                <w:bCs/>
              </w:rPr>
            </w:pPr>
            <w:r w:rsidRPr="009C148F">
              <w:rPr>
                <w:bCs/>
              </w:rPr>
              <w:t>vec.vic.gov.au</w:t>
            </w:r>
          </w:p>
        </w:tc>
      </w:tr>
      <w:tr w:rsidR="0044553D" w14:paraId="642022A4" w14:textId="77777777" w:rsidTr="0044553D">
        <w:tc>
          <w:tcPr>
            <w:tcW w:w="2889" w:type="dxa"/>
            <w:gridSpan w:val="2"/>
            <w:tcBorders>
              <w:top w:val="single" w:sz="4" w:space="0" w:color="auto"/>
            </w:tcBorders>
            <w:shd w:val="clear" w:color="auto" w:fill="auto"/>
            <w:tcMar>
              <w:top w:w="248" w:type="dxa"/>
              <w:bottom w:w="96" w:type="dxa"/>
            </w:tcMar>
          </w:tcPr>
          <w:p w14:paraId="7B5E1A33" w14:textId="77777777" w:rsidR="0044553D" w:rsidRPr="00F65444" w:rsidRDefault="0044553D" w:rsidP="0044553D">
            <w:pPr>
              <w:pStyle w:val="VECBackCover"/>
              <w:rPr>
                <w:bCs/>
              </w:rPr>
            </w:pPr>
            <w:r>
              <w:rPr>
                <w:bCs/>
                <w:noProof/>
              </w:rPr>
              <mc:AlternateContent>
                <mc:Choice Requires="wps">
                  <w:drawing>
                    <wp:inline distT="0" distB="0" distL="0" distR="0" wp14:anchorId="45A36946" wp14:editId="290A7E71">
                      <wp:extent cx="565150" cy="295275"/>
                      <wp:effectExtent l="1905" t="5715" r="4445" b="3810"/>
                      <wp:docPr id="16" name="Freeform 18"/>
                      <wp:cNvGraphicFramePr>
                        <a:graphicFrameLocks xmlns:a="http://schemas.openxmlformats.org/drawingml/2006/main"/>
                      </wp:cNvGraphicFramePr>
                      <a:graphic xmlns:a="http://schemas.openxmlformats.org/drawingml/2006/main">
                        <a:graphicData uri="http://schemas.microsoft.com/office/word/2010/wordprocessingShape">
                          <wps:wsp>
                            <wps:cNvSpPr>
                              <a:spLocks noEditPoints="1"/>
                            </wps:cNvSpPr>
                            <wps:spPr bwMode="auto">
                              <a:xfrm>
                                <a:off x="0" y="0"/>
                                <a:ext cx="565150" cy="295275"/>
                              </a:xfrm>
                              <a:custGeom>
                                <a:avLst/>
                                <a:gdLst>
                                  <a:gd name="T0" fmla="*/ 49282 w 711"/>
                                  <a:gd name="T1" fmla="*/ 267798 h 362"/>
                                  <a:gd name="T2" fmla="*/ 49282 w 711"/>
                                  <a:gd name="T3" fmla="*/ 238405 h 362"/>
                                  <a:gd name="T4" fmla="*/ 38154 w 711"/>
                                  <a:gd name="T5" fmla="*/ 222892 h 362"/>
                                  <a:gd name="T6" fmla="*/ 38154 w 711"/>
                                  <a:gd name="T7" fmla="*/ 295557 h 362"/>
                                  <a:gd name="T8" fmla="*/ 34974 w 711"/>
                                  <a:gd name="T9" fmla="*/ 271880 h 362"/>
                                  <a:gd name="T10" fmla="*/ 118435 w 711"/>
                                  <a:gd name="T11" fmla="*/ 265348 h 362"/>
                                  <a:gd name="T12" fmla="*/ 125589 w 711"/>
                                  <a:gd name="T13" fmla="*/ 253101 h 362"/>
                                  <a:gd name="T14" fmla="*/ 119230 w 711"/>
                                  <a:gd name="T15" fmla="*/ 252285 h 362"/>
                                  <a:gd name="T16" fmla="*/ 137512 w 711"/>
                                  <a:gd name="T17" fmla="*/ 277595 h 362"/>
                                  <a:gd name="T18" fmla="*/ 195537 w 711"/>
                                  <a:gd name="T19" fmla="*/ 265348 h 362"/>
                                  <a:gd name="T20" fmla="*/ 196332 w 711"/>
                                  <a:gd name="T21" fmla="*/ 257184 h 362"/>
                                  <a:gd name="T22" fmla="*/ 205870 w 711"/>
                                  <a:gd name="T23" fmla="*/ 255551 h 362"/>
                                  <a:gd name="T24" fmla="*/ 211434 w 711"/>
                                  <a:gd name="T25" fmla="*/ 255551 h 362"/>
                                  <a:gd name="T26" fmla="*/ 205870 w 711"/>
                                  <a:gd name="T27" fmla="*/ 255551 h 362"/>
                                  <a:gd name="T28" fmla="*/ 278998 w 711"/>
                                  <a:gd name="T29" fmla="*/ 239222 h 362"/>
                                  <a:gd name="T30" fmla="*/ 261511 w 711"/>
                                  <a:gd name="T31" fmla="*/ 233506 h 362"/>
                                  <a:gd name="T32" fmla="*/ 273434 w 711"/>
                                  <a:gd name="T33" fmla="*/ 277595 h 362"/>
                                  <a:gd name="T34" fmla="*/ 299665 w 711"/>
                                  <a:gd name="T35" fmla="*/ 219627 h 362"/>
                                  <a:gd name="T36" fmla="*/ 297280 w 711"/>
                                  <a:gd name="T37" fmla="*/ 277595 h 362"/>
                                  <a:gd name="T38" fmla="*/ 352921 w 711"/>
                                  <a:gd name="T39" fmla="*/ 255551 h 362"/>
                                  <a:gd name="T40" fmla="*/ 314767 w 711"/>
                                  <a:gd name="T41" fmla="*/ 255551 h 362"/>
                                  <a:gd name="T42" fmla="*/ 371203 w 711"/>
                                  <a:gd name="T43" fmla="*/ 254734 h 362"/>
                                  <a:gd name="T44" fmla="*/ 402997 w 711"/>
                                  <a:gd name="T45" fmla="*/ 251468 h 362"/>
                                  <a:gd name="T46" fmla="*/ 364844 w 711"/>
                                  <a:gd name="T47" fmla="*/ 277595 h 362"/>
                                  <a:gd name="T48" fmla="*/ 427638 w 711"/>
                                  <a:gd name="T49" fmla="*/ 251468 h 362"/>
                                  <a:gd name="T50" fmla="*/ 430818 w 711"/>
                                  <a:gd name="T51" fmla="*/ 232690 h 362"/>
                                  <a:gd name="T52" fmla="*/ 431612 w 711"/>
                                  <a:gd name="T53" fmla="*/ 273513 h 362"/>
                                  <a:gd name="T54" fmla="*/ 496791 w 711"/>
                                  <a:gd name="T55" fmla="*/ 233506 h 362"/>
                                  <a:gd name="T56" fmla="*/ 472945 w 711"/>
                                  <a:gd name="T57" fmla="*/ 277595 h 362"/>
                                  <a:gd name="T58" fmla="*/ 503945 w 711"/>
                                  <a:gd name="T59" fmla="*/ 219627 h 362"/>
                                  <a:gd name="T60" fmla="*/ 506330 w 711"/>
                                  <a:gd name="T61" fmla="*/ 233506 h 362"/>
                                  <a:gd name="T62" fmla="*/ 545278 w 711"/>
                                  <a:gd name="T63" fmla="*/ 272696 h 362"/>
                                  <a:gd name="T64" fmla="*/ 545278 w 711"/>
                                  <a:gd name="T65" fmla="*/ 232690 h 362"/>
                                  <a:gd name="T66" fmla="*/ 543689 w 711"/>
                                  <a:gd name="T67" fmla="*/ 22861 h 362"/>
                                  <a:gd name="T68" fmla="*/ 549253 w 711"/>
                                  <a:gd name="T69" fmla="*/ 118386 h 362"/>
                                  <a:gd name="T70" fmla="*/ 464202 w 711"/>
                                  <a:gd name="T71" fmla="*/ 134715 h 362"/>
                                  <a:gd name="T72" fmla="*/ 433997 w 711"/>
                                  <a:gd name="T73" fmla="*/ 75114 h 362"/>
                                  <a:gd name="T74" fmla="*/ 464202 w 711"/>
                                  <a:gd name="T75" fmla="*/ 14696 h 362"/>
                                  <a:gd name="T76" fmla="*/ 433202 w 711"/>
                                  <a:gd name="T77" fmla="*/ 13063 h 362"/>
                                  <a:gd name="T78" fmla="*/ 425254 w 711"/>
                                  <a:gd name="T79" fmla="*/ 123285 h 362"/>
                                  <a:gd name="T80" fmla="*/ 523022 w 711"/>
                                  <a:gd name="T81" fmla="*/ 148595 h 362"/>
                                  <a:gd name="T82" fmla="*/ 565150 w 711"/>
                                  <a:gd name="T83" fmla="*/ 75114 h 362"/>
                                  <a:gd name="T84" fmla="*/ 523022 w 711"/>
                                  <a:gd name="T85" fmla="*/ 816 h 362"/>
                                  <a:gd name="T86" fmla="*/ 530176 w 711"/>
                                  <a:gd name="T87" fmla="*/ 75114 h 362"/>
                                  <a:gd name="T88" fmla="*/ 517458 w 711"/>
                                  <a:gd name="T89" fmla="*/ 75114 h 362"/>
                                  <a:gd name="T90" fmla="*/ 531766 w 711"/>
                                  <a:gd name="T91" fmla="*/ 44089 h 362"/>
                                  <a:gd name="T92" fmla="*/ 372792 w 711"/>
                                  <a:gd name="T93" fmla="*/ 24494 h 362"/>
                                  <a:gd name="T94" fmla="*/ 286152 w 711"/>
                                  <a:gd name="T95" fmla="*/ 43272 h 362"/>
                                  <a:gd name="T96" fmla="*/ 209845 w 711"/>
                                  <a:gd name="T97" fmla="*/ 57968 h 362"/>
                                  <a:gd name="T98" fmla="*/ 255152 w 711"/>
                                  <a:gd name="T99" fmla="*/ 118386 h 362"/>
                                  <a:gd name="T100" fmla="*/ 0 w 711"/>
                                  <a:gd name="T101" fmla="*/ 74297 h 362"/>
                                  <a:gd name="T102" fmla="*/ 61205 w 711"/>
                                  <a:gd name="T103" fmla="*/ 74297 h 362"/>
                                  <a:gd name="T104" fmla="*/ 95384 w 711"/>
                                  <a:gd name="T105" fmla="*/ 48987 h 362"/>
                                  <a:gd name="T106" fmla="*/ 84256 w 711"/>
                                  <a:gd name="T107" fmla="*/ 95525 h 362"/>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711" h="362">
                                    <a:moveTo>
                                      <a:pt x="0" y="315"/>
                                    </a:moveTo>
                                    <a:cubicBezTo>
                                      <a:pt x="0" y="286"/>
                                      <a:pt x="19" y="267"/>
                                      <a:pt x="48" y="267"/>
                                    </a:cubicBezTo>
                                    <a:cubicBezTo>
                                      <a:pt x="75" y="267"/>
                                      <a:pt x="95" y="283"/>
                                      <a:pt x="95" y="316"/>
                                    </a:cubicBezTo>
                                    <a:cubicBezTo>
                                      <a:pt x="95" y="332"/>
                                      <a:pt x="89" y="344"/>
                                      <a:pt x="77" y="344"/>
                                    </a:cubicBezTo>
                                    <a:cubicBezTo>
                                      <a:pt x="67" y="344"/>
                                      <a:pt x="63" y="339"/>
                                      <a:pt x="62" y="328"/>
                                    </a:cubicBezTo>
                                    <a:cubicBezTo>
                                      <a:pt x="59" y="334"/>
                                      <a:pt x="53" y="339"/>
                                      <a:pt x="44" y="339"/>
                                    </a:cubicBezTo>
                                    <a:cubicBezTo>
                                      <a:pt x="30" y="339"/>
                                      <a:pt x="20" y="328"/>
                                      <a:pt x="20" y="315"/>
                                    </a:cubicBezTo>
                                    <a:cubicBezTo>
                                      <a:pt x="20" y="302"/>
                                      <a:pt x="30" y="291"/>
                                      <a:pt x="44" y="291"/>
                                    </a:cubicBezTo>
                                    <a:cubicBezTo>
                                      <a:pt x="53" y="291"/>
                                      <a:pt x="59" y="296"/>
                                      <a:pt x="62" y="302"/>
                                    </a:cubicBezTo>
                                    <a:cubicBezTo>
                                      <a:pt x="62" y="292"/>
                                      <a:pt x="62" y="292"/>
                                      <a:pt x="62" y="292"/>
                                    </a:cubicBezTo>
                                    <a:cubicBezTo>
                                      <a:pt x="69" y="292"/>
                                      <a:pt x="69" y="292"/>
                                      <a:pt x="69" y="292"/>
                                    </a:cubicBezTo>
                                    <a:cubicBezTo>
                                      <a:pt x="69" y="325"/>
                                      <a:pt x="69" y="325"/>
                                      <a:pt x="69" y="325"/>
                                    </a:cubicBezTo>
                                    <a:cubicBezTo>
                                      <a:pt x="69" y="336"/>
                                      <a:pt x="73" y="339"/>
                                      <a:pt x="77" y="339"/>
                                    </a:cubicBezTo>
                                    <a:cubicBezTo>
                                      <a:pt x="84" y="339"/>
                                      <a:pt x="88" y="331"/>
                                      <a:pt x="88" y="316"/>
                                    </a:cubicBezTo>
                                    <a:cubicBezTo>
                                      <a:pt x="88" y="286"/>
                                      <a:pt x="72" y="273"/>
                                      <a:pt x="48" y="273"/>
                                    </a:cubicBezTo>
                                    <a:cubicBezTo>
                                      <a:pt x="22" y="273"/>
                                      <a:pt x="6" y="289"/>
                                      <a:pt x="6" y="315"/>
                                    </a:cubicBezTo>
                                    <a:cubicBezTo>
                                      <a:pt x="6" y="340"/>
                                      <a:pt x="21" y="357"/>
                                      <a:pt x="48" y="357"/>
                                    </a:cubicBezTo>
                                    <a:cubicBezTo>
                                      <a:pt x="56" y="357"/>
                                      <a:pt x="65" y="355"/>
                                      <a:pt x="74" y="350"/>
                                    </a:cubicBezTo>
                                    <a:cubicBezTo>
                                      <a:pt x="76" y="355"/>
                                      <a:pt x="76" y="355"/>
                                      <a:pt x="76" y="355"/>
                                    </a:cubicBezTo>
                                    <a:cubicBezTo>
                                      <a:pt x="66" y="361"/>
                                      <a:pt x="57" y="362"/>
                                      <a:pt x="48" y="362"/>
                                    </a:cubicBezTo>
                                    <a:cubicBezTo>
                                      <a:pt x="17" y="362"/>
                                      <a:pt x="0" y="343"/>
                                      <a:pt x="0" y="315"/>
                                    </a:cubicBezTo>
                                    <a:moveTo>
                                      <a:pt x="62" y="315"/>
                                    </a:moveTo>
                                    <a:cubicBezTo>
                                      <a:pt x="62" y="305"/>
                                      <a:pt x="55" y="297"/>
                                      <a:pt x="44" y="297"/>
                                    </a:cubicBezTo>
                                    <a:cubicBezTo>
                                      <a:pt x="34" y="297"/>
                                      <a:pt x="27" y="305"/>
                                      <a:pt x="27" y="315"/>
                                    </a:cubicBezTo>
                                    <a:cubicBezTo>
                                      <a:pt x="27" y="325"/>
                                      <a:pt x="34" y="333"/>
                                      <a:pt x="44" y="333"/>
                                    </a:cubicBezTo>
                                    <a:cubicBezTo>
                                      <a:pt x="55" y="333"/>
                                      <a:pt x="62" y="325"/>
                                      <a:pt x="62" y="315"/>
                                    </a:cubicBezTo>
                                    <a:moveTo>
                                      <a:pt x="157" y="315"/>
                                    </a:moveTo>
                                    <a:cubicBezTo>
                                      <a:pt x="114" y="315"/>
                                      <a:pt x="114" y="315"/>
                                      <a:pt x="114" y="315"/>
                                    </a:cubicBezTo>
                                    <a:cubicBezTo>
                                      <a:pt x="114" y="327"/>
                                      <a:pt x="122" y="334"/>
                                      <a:pt x="133" y="334"/>
                                    </a:cubicBezTo>
                                    <a:cubicBezTo>
                                      <a:pt x="141" y="334"/>
                                      <a:pt x="147" y="331"/>
                                      <a:pt x="149" y="325"/>
                                    </a:cubicBezTo>
                                    <a:cubicBezTo>
                                      <a:pt x="157" y="325"/>
                                      <a:pt x="157" y="325"/>
                                      <a:pt x="157" y="325"/>
                                    </a:cubicBezTo>
                                    <a:cubicBezTo>
                                      <a:pt x="155" y="334"/>
                                      <a:pt x="145" y="341"/>
                                      <a:pt x="133" y="341"/>
                                    </a:cubicBezTo>
                                    <a:cubicBezTo>
                                      <a:pt x="117" y="341"/>
                                      <a:pt x="107" y="330"/>
                                      <a:pt x="107" y="313"/>
                                    </a:cubicBezTo>
                                    <a:cubicBezTo>
                                      <a:pt x="107" y="296"/>
                                      <a:pt x="117" y="285"/>
                                      <a:pt x="133" y="285"/>
                                    </a:cubicBezTo>
                                    <a:cubicBezTo>
                                      <a:pt x="148" y="285"/>
                                      <a:pt x="158" y="295"/>
                                      <a:pt x="158" y="310"/>
                                    </a:cubicBezTo>
                                    <a:cubicBezTo>
                                      <a:pt x="158" y="312"/>
                                      <a:pt x="158" y="313"/>
                                      <a:pt x="157" y="315"/>
                                    </a:cubicBezTo>
                                    <a:moveTo>
                                      <a:pt x="150" y="309"/>
                                    </a:moveTo>
                                    <a:cubicBezTo>
                                      <a:pt x="150" y="298"/>
                                      <a:pt x="144" y="291"/>
                                      <a:pt x="133" y="291"/>
                                    </a:cubicBezTo>
                                    <a:cubicBezTo>
                                      <a:pt x="122" y="291"/>
                                      <a:pt x="115" y="298"/>
                                      <a:pt x="114" y="309"/>
                                    </a:cubicBezTo>
                                    <a:lnTo>
                                      <a:pt x="150" y="309"/>
                                    </a:lnTo>
                                    <a:close/>
                                    <a:moveTo>
                                      <a:pt x="173" y="340"/>
                                    </a:moveTo>
                                    <a:cubicBezTo>
                                      <a:pt x="181" y="340"/>
                                      <a:pt x="181" y="340"/>
                                      <a:pt x="181" y="340"/>
                                    </a:cubicBezTo>
                                    <a:cubicBezTo>
                                      <a:pt x="181" y="258"/>
                                      <a:pt x="181" y="258"/>
                                      <a:pt x="181" y="258"/>
                                    </a:cubicBezTo>
                                    <a:cubicBezTo>
                                      <a:pt x="173" y="258"/>
                                      <a:pt x="173" y="258"/>
                                      <a:pt x="173" y="258"/>
                                    </a:cubicBezTo>
                                    <a:lnTo>
                                      <a:pt x="173" y="340"/>
                                    </a:lnTo>
                                    <a:close/>
                                    <a:moveTo>
                                      <a:pt x="247" y="315"/>
                                    </a:moveTo>
                                    <a:cubicBezTo>
                                      <a:pt x="204" y="315"/>
                                      <a:pt x="204" y="315"/>
                                      <a:pt x="204" y="315"/>
                                    </a:cubicBezTo>
                                    <a:cubicBezTo>
                                      <a:pt x="204" y="327"/>
                                      <a:pt x="211" y="334"/>
                                      <a:pt x="223" y="334"/>
                                    </a:cubicBezTo>
                                    <a:cubicBezTo>
                                      <a:pt x="231" y="334"/>
                                      <a:pt x="236" y="331"/>
                                      <a:pt x="239" y="325"/>
                                    </a:cubicBezTo>
                                    <a:cubicBezTo>
                                      <a:pt x="246" y="325"/>
                                      <a:pt x="246" y="325"/>
                                      <a:pt x="246" y="325"/>
                                    </a:cubicBezTo>
                                    <a:cubicBezTo>
                                      <a:pt x="244" y="334"/>
                                      <a:pt x="235" y="341"/>
                                      <a:pt x="223" y="341"/>
                                    </a:cubicBezTo>
                                    <a:cubicBezTo>
                                      <a:pt x="207" y="341"/>
                                      <a:pt x="196" y="330"/>
                                      <a:pt x="196" y="313"/>
                                    </a:cubicBezTo>
                                    <a:cubicBezTo>
                                      <a:pt x="196" y="296"/>
                                      <a:pt x="207" y="285"/>
                                      <a:pt x="222" y="285"/>
                                    </a:cubicBezTo>
                                    <a:cubicBezTo>
                                      <a:pt x="237" y="285"/>
                                      <a:pt x="247" y="295"/>
                                      <a:pt x="247" y="310"/>
                                    </a:cubicBezTo>
                                    <a:cubicBezTo>
                                      <a:pt x="247" y="312"/>
                                      <a:pt x="247" y="313"/>
                                      <a:pt x="247" y="315"/>
                                    </a:cubicBezTo>
                                    <a:moveTo>
                                      <a:pt x="240" y="309"/>
                                    </a:moveTo>
                                    <a:cubicBezTo>
                                      <a:pt x="240" y="298"/>
                                      <a:pt x="233" y="291"/>
                                      <a:pt x="222" y="291"/>
                                    </a:cubicBezTo>
                                    <a:cubicBezTo>
                                      <a:pt x="212" y="291"/>
                                      <a:pt x="205" y="298"/>
                                      <a:pt x="204" y="309"/>
                                    </a:cubicBezTo>
                                    <a:lnTo>
                                      <a:pt x="240" y="309"/>
                                    </a:lnTo>
                                    <a:close/>
                                    <a:moveTo>
                                      <a:pt x="259" y="313"/>
                                    </a:moveTo>
                                    <a:cubicBezTo>
                                      <a:pt x="259" y="330"/>
                                      <a:pt x="269" y="341"/>
                                      <a:pt x="285" y="341"/>
                                    </a:cubicBezTo>
                                    <a:cubicBezTo>
                                      <a:pt x="299" y="341"/>
                                      <a:pt x="308" y="333"/>
                                      <a:pt x="310" y="322"/>
                                    </a:cubicBezTo>
                                    <a:cubicBezTo>
                                      <a:pt x="302" y="322"/>
                                      <a:pt x="302" y="322"/>
                                      <a:pt x="302" y="322"/>
                                    </a:cubicBezTo>
                                    <a:cubicBezTo>
                                      <a:pt x="301" y="330"/>
                                      <a:pt x="295" y="334"/>
                                      <a:pt x="285" y="334"/>
                                    </a:cubicBezTo>
                                    <a:cubicBezTo>
                                      <a:pt x="274" y="334"/>
                                      <a:pt x="266" y="326"/>
                                      <a:pt x="266" y="313"/>
                                    </a:cubicBezTo>
                                    <a:cubicBezTo>
                                      <a:pt x="266" y="300"/>
                                      <a:pt x="274" y="292"/>
                                      <a:pt x="285" y="292"/>
                                    </a:cubicBezTo>
                                    <a:cubicBezTo>
                                      <a:pt x="295" y="292"/>
                                      <a:pt x="301" y="296"/>
                                      <a:pt x="302" y="304"/>
                                    </a:cubicBezTo>
                                    <a:cubicBezTo>
                                      <a:pt x="310" y="304"/>
                                      <a:pt x="310" y="304"/>
                                      <a:pt x="310" y="304"/>
                                    </a:cubicBezTo>
                                    <a:cubicBezTo>
                                      <a:pt x="308" y="293"/>
                                      <a:pt x="299" y="285"/>
                                      <a:pt x="285" y="285"/>
                                    </a:cubicBezTo>
                                    <a:cubicBezTo>
                                      <a:pt x="269" y="285"/>
                                      <a:pt x="259" y="297"/>
                                      <a:pt x="259" y="313"/>
                                    </a:cubicBezTo>
                                    <a:moveTo>
                                      <a:pt x="353" y="333"/>
                                    </a:moveTo>
                                    <a:cubicBezTo>
                                      <a:pt x="351" y="333"/>
                                      <a:pt x="348" y="333"/>
                                      <a:pt x="346" y="333"/>
                                    </a:cubicBezTo>
                                    <a:cubicBezTo>
                                      <a:pt x="340" y="333"/>
                                      <a:pt x="336" y="332"/>
                                      <a:pt x="336" y="321"/>
                                    </a:cubicBezTo>
                                    <a:cubicBezTo>
                                      <a:pt x="336" y="293"/>
                                      <a:pt x="336" y="293"/>
                                      <a:pt x="336" y="293"/>
                                    </a:cubicBezTo>
                                    <a:cubicBezTo>
                                      <a:pt x="351" y="293"/>
                                      <a:pt x="351" y="293"/>
                                      <a:pt x="351" y="293"/>
                                    </a:cubicBezTo>
                                    <a:cubicBezTo>
                                      <a:pt x="351" y="286"/>
                                      <a:pt x="351" y="286"/>
                                      <a:pt x="351" y="286"/>
                                    </a:cubicBezTo>
                                    <a:cubicBezTo>
                                      <a:pt x="336" y="286"/>
                                      <a:pt x="336" y="286"/>
                                      <a:pt x="336" y="286"/>
                                    </a:cubicBezTo>
                                    <a:cubicBezTo>
                                      <a:pt x="336" y="269"/>
                                      <a:pt x="336" y="269"/>
                                      <a:pt x="336" y="269"/>
                                    </a:cubicBezTo>
                                    <a:cubicBezTo>
                                      <a:pt x="329" y="269"/>
                                      <a:pt x="329" y="269"/>
                                      <a:pt x="329" y="269"/>
                                    </a:cubicBezTo>
                                    <a:cubicBezTo>
                                      <a:pt x="329" y="286"/>
                                      <a:pt x="329" y="286"/>
                                      <a:pt x="329" y="286"/>
                                    </a:cubicBezTo>
                                    <a:cubicBezTo>
                                      <a:pt x="319" y="286"/>
                                      <a:pt x="319" y="286"/>
                                      <a:pt x="319" y="286"/>
                                    </a:cubicBezTo>
                                    <a:cubicBezTo>
                                      <a:pt x="319" y="293"/>
                                      <a:pt x="319" y="293"/>
                                      <a:pt x="319" y="293"/>
                                    </a:cubicBezTo>
                                    <a:cubicBezTo>
                                      <a:pt x="329" y="293"/>
                                      <a:pt x="329" y="293"/>
                                      <a:pt x="329" y="293"/>
                                    </a:cubicBezTo>
                                    <a:cubicBezTo>
                                      <a:pt x="329" y="322"/>
                                      <a:pt x="329" y="322"/>
                                      <a:pt x="329" y="322"/>
                                    </a:cubicBezTo>
                                    <a:cubicBezTo>
                                      <a:pt x="329" y="339"/>
                                      <a:pt x="338" y="340"/>
                                      <a:pt x="344" y="340"/>
                                    </a:cubicBezTo>
                                    <a:cubicBezTo>
                                      <a:pt x="347" y="340"/>
                                      <a:pt x="351" y="340"/>
                                      <a:pt x="353" y="339"/>
                                    </a:cubicBezTo>
                                    <a:cubicBezTo>
                                      <a:pt x="353" y="333"/>
                                      <a:pt x="353" y="333"/>
                                      <a:pt x="353" y="333"/>
                                    </a:cubicBezTo>
                                    <a:moveTo>
                                      <a:pt x="363" y="269"/>
                                    </a:moveTo>
                                    <a:cubicBezTo>
                                      <a:pt x="363" y="265"/>
                                      <a:pt x="366" y="262"/>
                                      <a:pt x="370" y="262"/>
                                    </a:cubicBezTo>
                                    <a:cubicBezTo>
                                      <a:pt x="374" y="262"/>
                                      <a:pt x="377" y="265"/>
                                      <a:pt x="377" y="269"/>
                                    </a:cubicBezTo>
                                    <a:cubicBezTo>
                                      <a:pt x="377" y="273"/>
                                      <a:pt x="374" y="276"/>
                                      <a:pt x="370" y="276"/>
                                    </a:cubicBezTo>
                                    <a:cubicBezTo>
                                      <a:pt x="366" y="276"/>
                                      <a:pt x="363" y="273"/>
                                      <a:pt x="363" y="269"/>
                                    </a:cubicBezTo>
                                    <a:moveTo>
                                      <a:pt x="366" y="286"/>
                                    </a:moveTo>
                                    <a:cubicBezTo>
                                      <a:pt x="374" y="286"/>
                                      <a:pt x="374" y="286"/>
                                      <a:pt x="374" y="286"/>
                                    </a:cubicBezTo>
                                    <a:cubicBezTo>
                                      <a:pt x="374" y="340"/>
                                      <a:pt x="374" y="340"/>
                                      <a:pt x="374" y="340"/>
                                    </a:cubicBezTo>
                                    <a:cubicBezTo>
                                      <a:pt x="366" y="340"/>
                                      <a:pt x="366" y="340"/>
                                      <a:pt x="366" y="340"/>
                                    </a:cubicBezTo>
                                    <a:lnTo>
                                      <a:pt x="366" y="286"/>
                                    </a:lnTo>
                                    <a:close/>
                                    <a:moveTo>
                                      <a:pt x="389" y="313"/>
                                    </a:moveTo>
                                    <a:cubicBezTo>
                                      <a:pt x="389" y="298"/>
                                      <a:pt x="399" y="285"/>
                                      <a:pt x="416" y="285"/>
                                    </a:cubicBezTo>
                                    <a:cubicBezTo>
                                      <a:pt x="433" y="285"/>
                                      <a:pt x="444" y="298"/>
                                      <a:pt x="444" y="313"/>
                                    </a:cubicBezTo>
                                    <a:cubicBezTo>
                                      <a:pt x="444" y="328"/>
                                      <a:pt x="433" y="341"/>
                                      <a:pt x="416" y="341"/>
                                    </a:cubicBezTo>
                                    <a:cubicBezTo>
                                      <a:pt x="399" y="341"/>
                                      <a:pt x="389" y="328"/>
                                      <a:pt x="389" y="313"/>
                                    </a:cubicBezTo>
                                    <a:moveTo>
                                      <a:pt x="436" y="313"/>
                                    </a:moveTo>
                                    <a:cubicBezTo>
                                      <a:pt x="436" y="301"/>
                                      <a:pt x="429" y="292"/>
                                      <a:pt x="416" y="292"/>
                                    </a:cubicBezTo>
                                    <a:cubicBezTo>
                                      <a:pt x="404" y="292"/>
                                      <a:pt x="396" y="301"/>
                                      <a:pt x="396" y="313"/>
                                    </a:cubicBezTo>
                                    <a:cubicBezTo>
                                      <a:pt x="396" y="325"/>
                                      <a:pt x="404" y="334"/>
                                      <a:pt x="416" y="334"/>
                                    </a:cubicBezTo>
                                    <a:cubicBezTo>
                                      <a:pt x="429" y="334"/>
                                      <a:pt x="436" y="325"/>
                                      <a:pt x="436" y="313"/>
                                    </a:cubicBezTo>
                                    <a:moveTo>
                                      <a:pt x="459" y="340"/>
                                    </a:moveTo>
                                    <a:cubicBezTo>
                                      <a:pt x="467" y="340"/>
                                      <a:pt x="467" y="340"/>
                                      <a:pt x="467" y="340"/>
                                    </a:cubicBezTo>
                                    <a:cubicBezTo>
                                      <a:pt x="467" y="312"/>
                                      <a:pt x="467" y="312"/>
                                      <a:pt x="467" y="312"/>
                                    </a:cubicBezTo>
                                    <a:cubicBezTo>
                                      <a:pt x="467" y="300"/>
                                      <a:pt x="472" y="292"/>
                                      <a:pt x="484" y="292"/>
                                    </a:cubicBezTo>
                                    <a:cubicBezTo>
                                      <a:pt x="494" y="292"/>
                                      <a:pt x="499" y="298"/>
                                      <a:pt x="499" y="311"/>
                                    </a:cubicBezTo>
                                    <a:cubicBezTo>
                                      <a:pt x="499" y="340"/>
                                      <a:pt x="499" y="340"/>
                                      <a:pt x="499" y="340"/>
                                    </a:cubicBezTo>
                                    <a:cubicBezTo>
                                      <a:pt x="507" y="340"/>
                                      <a:pt x="507" y="340"/>
                                      <a:pt x="507" y="340"/>
                                    </a:cubicBezTo>
                                    <a:cubicBezTo>
                                      <a:pt x="507" y="308"/>
                                      <a:pt x="507" y="308"/>
                                      <a:pt x="507" y="308"/>
                                    </a:cubicBezTo>
                                    <a:cubicBezTo>
                                      <a:pt x="507" y="293"/>
                                      <a:pt x="500" y="285"/>
                                      <a:pt x="487" y="285"/>
                                    </a:cubicBezTo>
                                    <a:cubicBezTo>
                                      <a:pt x="476" y="285"/>
                                      <a:pt x="469" y="291"/>
                                      <a:pt x="467" y="299"/>
                                    </a:cubicBezTo>
                                    <a:cubicBezTo>
                                      <a:pt x="467" y="286"/>
                                      <a:pt x="467" y="286"/>
                                      <a:pt x="467" y="286"/>
                                    </a:cubicBezTo>
                                    <a:cubicBezTo>
                                      <a:pt x="459" y="286"/>
                                      <a:pt x="459" y="286"/>
                                      <a:pt x="459" y="286"/>
                                    </a:cubicBezTo>
                                    <a:lnTo>
                                      <a:pt x="459" y="340"/>
                                    </a:lnTo>
                                    <a:close/>
                                    <a:moveTo>
                                      <a:pt x="521" y="324"/>
                                    </a:moveTo>
                                    <a:cubicBezTo>
                                      <a:pt x="521" y="333"/>
                                      <a:pt x="529" y="341"/>
                                      <a:pt x="543" y="341"/>
                                    </a:cubicBezTo>
                                    <a:cubicBezTo>
                                      <a:pt x="555" y="341"/>
                                      <a:pt x="563" y="335"/>
                                      <a:pt x="563" y="325"/>
                                    </a:cubicBezTo>
                                    <a:cubicBezTo>
                                      <a:pt x="563" y="319"/>
                                      <a:pt x="560" y="313"/>
                                      <a:pt x="552" y="311"/>
                                    </a:cubicBezTo>
                                    <a:cubicBezTo>
                                      <a:pt x="538" y="308"/>
                                      <a:pt x="538" y="308"/>
                                      <a:pt x="538" y="308"/>
                                    </a:cubicBezTo>
                                    <a:cubicBezTo>
                                      <a:pt x="532" y="306"/>
                                      <a:pt x="530" y="303"/>
                                      <a:pt x="530" y="300"/>
                                    </a:cubicBezTo>
                                    <a:cubicBezTo>
                                      <a:pt x="530" y="294"/>
                                      <a:pt x="536" y="291"/>
                                      <a:pt x="542" y="291"/>
                                    </a:cubicBezTo>
                                    <a:cubicBezTo>
                                      <a:pt x="550" y="291"/>
                                      <a:pt x="555" y="295"/>
                                      <a:pt x="555" y="300"/>
                                    </a:cubicBezTo>
                                    <a:cubicBezTo>
                                      <a:pt x="562" y="300"/>
                                      <a:pt x="562" y="300"/>
                                      <a:pt x="562" y="300"/>
                                    </a:cubicBezTo>
                                    <a:cubicBezTo>
                                      <a:pt x="562" y="291"/>
                                      <a:pt x="555" y="285"/>
                                      <a:pt x="542" y="285"/>
                                    </a:cubicBezTo>
                                    <a:cubicBezTo>
                                      <a:pt x="531" y="285"/>
                                      <a:pt x="523" y="291"/>
                                      <a:pt x="523" y="300"/>
                                    </a:cubicBezTo>
                                    <a:cubicBezTo>
                                      <a:pt x="523" y="306"/>
                                      <a:pt x="526" y="312"/>
                                      <a:pt x="534" y="314"/>
                                    </a:cubicBezTo>
                                    <a:cubicBezTo>
                                      <a:pt x="549" y="317"/>
                                      <a:pt x="549" y="317"/>
                                      <a:pt x="549" y="317"/>
                                    </a:cubicBezTo>
                                    <a:cubicBezTo>
                                      <a:pt x="554" y="318"/>
                                      <a:pt x="556" y="322"/>
                                      <a:pt x="556" y="326"/>
                                    </a:cubicBezTo>
                                    <a:cubicBezTo>
                                      <a:pt x="556" y="332"/>
                                      <a:pt x="550" y="335"/>
                                      <a:pt x="543" y="335"/>
                                    </a:cubicBezTo>
                                    <a:cubicBezTo>
                                      <a:pt x="534" y="335"/>
                                      <a:pt x="529" y="330"/>
                                      <a:pt x="529" y="324"/>
                                    </a:cubicBezTo>
                                    <a:cubicBezTo>
                                      <a:pt x="521" y="324"/>
                                      <a:pt x="521" y="324"/>
                                      <a:pt x="521" y="324"/>
                                    </a:cubicBezTo>
                                    <a:moveTo>
                                      <a:pt x="595" y="340"/>
                                    </a:moveTo>
                                    <a:cubicBezTo>
                                      <a:pt x="601" y="340"/>
                                      <a:pt x="601" y="340"/>
                                      <a:pt x="601" y="340"/>
                                    </a:cubicBezTo>
                                    <a:cubicBezTo>
                                      <a:pt x="625" y="286"/>
                                      <a:pt x="625" y="286"/>
                                      <a:pt x="625" y="286"/>
                                    </a:cubicBezTo>
                                    <a:cubicBezTo>
                                      <a:pt x="617" y="286"/>
                                      <a:pt x="617" y="286"/>
                                      <a:pt x="617" y="286"/>
                                    </a:cubicBezTo>
                                    <a:cubicBezTo>
                                      <a:pt x="598" y="330"/>
                                      <a:pt x="598" y="330"/>
                                      <a:pt x="598" y="330"/>
                                    </a:cubicBezTo>
                                    <a:cubicBezTo>
                                      <a:pt x="579" y="286"/>
                                      <a:pt x="579" y="286"/>
                                      <a:pt x="579" y="286"/>
                                    </a:cubicBezTo>
                                    <a:cubicBezTo>
                                      <a:pt x="571" y="286"/>
                                      <a:pt x="571" y="286"/>
                                      <a:pt x="571" y="286"/>
                                    </a:cubicBezTo>
                                    <a:lnTo>
                                      <a:pt x="595" y="340"/>
                                    </a:lnTo>
                                    <a:close/>
                                    <a:moveTo>
                                      <a:pt x="634" y="269"/>
                                    </a:moveTo>
                                    <a:cubicBezTo>
                                      <a:pt x="634" y="265"/>
                                      <a:pt x="636" y="262"/>
                                      <a:pt x="641" y="262"/>
                                    </a:cubicBezTo>
                                    <a:cubicBezTo>
                                      <a:pt x="645" y="262"/>
                                      <a:pt x="648" y="265"/>
                                      <a:pt x="648" y="269"/>
                                    </a:cubicBezTo>
                                    <a:cubicBezTo>
                                      <a:pt x="648" y="273"/>
                                      <a:pt x="645" y="276"/>
                                      <a:pt x="641" y="276"/>
                                    </a:cubicBezTo>
                                    <a:cubicBezTo>
                                      <a:pt x="636" y="276"/>
                                      <a:pt x="634" y="273"/>
                                      <a:pt x="634" y="269"/>
                                    </a:cubicBezTo>
                                    <a:moveTo>
                                      <a:pt x="637" y="286"/>
                                    </a:moveTo>
                                    <a:cubicBezTo>
                                      <a:pt x="644" y="286"/>
                                      <a:pt x="644" y="286"/>
                                      <a:pt x="644" y="286"/>
                                    </a:cubicBezTo>
                                    <a:cubicBezTo>
                                      <a:pt x="644" y="340"/>
                                      <a:pt x="644" y="340"/>
                                      <a:pt x="644" y="340"/>
                                    </a:cubicBezTo>
                                    <a:cubicBezTo>
                                      <a:pt x="637" y="340"/>
                                      <a:pt x="637" y="340"/>
                                      <a:pt x="637" y="340"/>
                                    </a:cubicBezTo>
                                    <a:lnTo>
                                      <a:pt x="637" y="286"/>
                                    </a:lnTo>
                                    <a:close/>
                                    <a:moveTo>
                                      <a:pt x="659" y="313"/>
                                    </a:moveTo>
                                    <a:cubicBezTo>
                                      <a:pt x="659" y="330"/>
                                      <a:pt x="670" y="341"/>
                                      <a:pt x="686" y="341"/>
                                    </a:cubicBezTo>
                                    <a:cubicBezTo>
                                      <a:pt x="700" y="341"/>
                                      <a:pt x="709" y="333"/>
                                      <a:pt x="710" y="322"/>
                                    </a:cubicBezTo>
                                    <a:cubicBezTo>
                                      <a:pt x="703" y="322"/>
                                      <a:pt x="703" y="322"/>
                                      <a:pt x="703" y="322"/>
                                    </a:cubicBezTo>
                                    <a:cubicBezTo>
                                      <a:pt x="701" y="330"/>
                                      <a:pt x="695" y="334"/>
                                      <a:pt x="686" y="334"/>
                                    </a:cubicBezTo>
                                    <a:cubicBezTo>
                                      <a:pt x="674" y="334"/>
                                      <a:pt x="667" y="326"/>
                                      <a:pt x="667" y="313"/>
                                    </a:cubicBezTo>
                                    <a:cubicBezTo>
                                      <a:pt x="667" y="300"/>
                                      <a:pt x="674" y="292"/>
                                      <a:pt x="686" y="292"/>
                                    </a:cubicBezTo>
                                    <a:cubicBezTo>
                                      <a:pt x="695" y="292"/>
                                      <a:pt x="701" y="296"/>
                                      <a:pt x="703" y="304"/>
                                    </a:cubicBezTo>
                                    <a:cubicBezTo>
                                      <a:pt x="710" y="304"/>
                                      <a:pt x="710" y="304"/>
                                      <a:pt x="710" y="304"/>
                                    </a:cubicBezTo>
                                    <a:cubicBezTo>
                                      <a:pt x="709" y="293"/>
                                      <a:pt x="700" y="285"/>
                                      <a:pt x="686" y="285"/>
                                    </a:cubicBezTo>
                                    <a:cubicBezTo>
                                      <a:pt x="670" y="285"/>
                                      <a:pt x="659" y="297"/>
                                      <a:pt x="659" y="313"/>
                                    </a:cubicBezTo>
                                    <a:moveTo>
                                      <a:pt x="621" y="17"/>
                                    </a:moveTo>
                                    <a:cubicBezTo>
                                      <a:pt x="645" y="17"/>
                                      <a:pt x="648" y="17"/>
                                      <a:pt x="657" y="18"/>
                                    </a:cubicBezTo>
                                    <a:cubicBezTo>
                                      <a:pt x="666" y="18"/>
                                      <a:pt x="671" y="20"/>
                                      <a:pt x="674" y="21"/>
                                    </a:cubicBezTo>
                                    <a:cubicBezTo>
                                      <a:pt x="678" y="23"/>
                                      <a:pt x="681" y="25"/>
                                      <a:pt x="684" y="28"/>
                                    </a:cubicBezTo>
                                    <a:cubicBezTo>
                                      <a:pt x="688" y="31"/>
                                      <a:pt x="690" y="34"/>
                                      <a:pt x="691" y="38"/>
                                    </a:cubicBezTo>
                                    <a:cubicBezTo>
                                      <a:pt x="692" y="41"/>
                                      <a:pt x="694" y="46"/>
                                      <a:pt x="694" y="55"/>
                                    </a:cubicBezTo>
                                    <a:cubicBezTo>
                                      <a:pt x="695" y="65"/>
                                      <a:pt x="695" y="67"/>
                                      <a:pt x="695" y="92"/>
                                    </a:cubicBezTo>
                                    <a:cubicBezTo>
                                      <a:pt x="695" y="116"/>
                                      <a:pt x="695" y="119"/>
                                      <a:pt x="694" y="128"/>
                                    </a:cubicBezTo>
                                    <a:cubicBezTo>
                                      <a:pt x="694" y="137"/>
                                      <a:pt x="692" y="142"/>
                                      <a:pt x="691" y="145"/>
                                    </a:cubicBezTo>
                                    <a:cubicBezTo>
                                      <a:pt x="690" y="149"/>
                                      <a:pt x="688" y="152"/>
                                      <a:pt x="684" y="156"/>
                                    </a:cubicBezTo>
                                    <a:cubicBezTo>
                                      <a:pt x="681" y="159"/>
                                      <a:pt x="678" y="161"/>
                                      <a:pt x="674" y="162"/>
                                    </a:cubicBezTo>
                                    <a:cubicBezTo>
                                      <a:pt x="671" y="164"/>
                                      <a:pt x="666" y="165"/>
                                      <a:pt x="657" y="165"/>
                                    </a:cubicBezTo>
                                    <a:cubicBezTo>
                                      <a:pt x="648" y="166"/>
                                      <a:pt x="645" y="166"/>
                                      <a:pt x="621" y="166"/>
                                    </a:cubicBezTo>
                                    <a:cubicBezTo>
                                      <a:pt x="596" y="166"/>
                                      <a:pt x="593" y="166"/>
                                      <a:pt x="584" y="165"/>
                                    </a:cubicBezTo>
                                    <a:cubicBezTo>
                                      <a:pt x="575" y="165"/>
                                      <a:pt x="570" y="164"/>
                                      <a:pt x="567" y="162"/>
                                    </a:cubicBezTo>
                                    <a:cubicBezTo>
                                      <a:pt x="563" y="161"/>
                                      <a:pt x="560" y="159"/>
                                      <a:pt x="557" y="156"/>
                                    </a:cubicBezTo>
                                    <a:cubicBezTo>
                                      <a:pt x="553" y="152"/>
                                      <a:pt x="551" y="149"/>
                                      <a:pt x="550" y="145"/>
                                    </a:cubicBezTo>
                                    <a:cubicBezTo>
                                      <a:pt x="549" y="142"/>
                                      <a:pt x="547" y="137"/>
                                      <a:pt x="547" y="128"/>
                                    </a:cubicBezTo>
                                    <a:cubicBezTo>
                                      <a:pt x="546" y="119"/>
                                      <a:pt x="546" y="116"/>
                                      <a:pt x="546" y="92"/>
                                    </a:cubicBezTo>
                                    <a:cubicBezTo>
                                      <a:pt x="546" y="67"/>
                                      <a:pt x="546" y="65"/>
                                      <a:pt x="547" y="55"/>
                                    </a:cubicBezTo>
                                    <a:cubicBezTo>
                                      <a:pt x="547" y="46"/>
                                      <a:pt x="549" y="41"/>
                                      <a:pt x="550" y="38"/>
                                    </a:cubicBezTo>
                                    <a:cubicBezTo>
                                      <a:pt x="551" y="34"/>
                                      <a:pt x="553" y="31"/>
                                      <a:pt x="557" y="28"/>
                                    </a:cubicBezTo>
                                    <a:cubicBezTo>
                                      <a:pt x="560" y="25"/>
                                      <a:pt x="563" y="23"/>
                                      <a:pt x="567" y="21"/>
                                    </a:cubicBezTo>
                                    <a:cubicBezTo>
                                      <a:pt x="570" y="20"/>
                                      <a:pt x="575" y="18"/>
                                      <a:pt x="584" y="18"/>
                                    </a:cubicBezTo>
                                    <a:cubicBezTo>
                                      <a:pt x="593" y="17"/>
                                      <a:pt x="596" y="17"/>
                                      <a:pt x="621" y="17"/>
                                    </a:cubicBezTo>
                                    <a:moveTo>
                                      <a:pt x="621" y="1"/>
                                    </a:moveTo>
                                    <a:cubicBezTo>
                                      <a:pt x="596" y="1"/>
                                      <a:pt x="593" y="1"/>
                                      <a:pt x="583" y="1"/>
                                    </a:cubicBezTo>
                                    <a:cubicBezTo>
                                      <a:pt x="573" y="2"/>
                                      <a:pt x="567" y="3"/>
                                      <a:pt x="561" y="6"/>
                                    </a:cubicBezTo>
                                    <a:cubicBezTo>
                                      <a:pt x="555" y="8"/>
                                      <a:pt x="550" y="11"/>
                                      <a:pt x="545" y="16"/>
                                    </a:cubicBezTo>
                                    <a:cubicBezTo>
                                      <a:pt x="540" y="21"/>
                                      <a:pt x="537" y="26"/>
                                      <a:pt x="535" y="32"/>
                                    </a:cubicBezTo>
                                    <a:cubicBezTo>
                                      <a:pt x="532" y="38"/>
                                      <a:pt x="531" y="45"/>
                                      <a:pt x="530" y="54"/>
                                    </a:cubicBezTo>
                                    <a:cubicBezTo>
                                      <a:pt x="530" y="64"/>
                                      <a:pt x="530" y="67"/>
                                      <a:pt x="530" y="92"/>
                                    </a:cubicBezTo>
                                    <a:cubicBezTo>
                                      <a:pt x="530" y="116"/>
                                      <a:pt x="530" y="119"/>
                                      <a:pt x="530" y="129"/>
                                    </a:cubicBezTo>
                                    <a:cubicBezTo>
                                      <a:pt x="531" y="139"/>
                                      <a:pt x="532" y="145"/>
                                      <a:pt x="535" y="151"/>
                                    </a:cubicBezTo>
                                    <a:cubicBezTo>
                                      <a:pt x="537" y="157"/>
                                      <a:pt x="540" y="162"/>
                                      <a:pt x="545" y="167"/>
                                    </a:cubicBezTo>
                                    <a:cubicBezTo>
                                      <a:pt x="550" y="172"/>
                                      <a:pt x="555" y="175"/>
                                      <a:pt x="561" y="178"/>
                                    </a:cubicBezTo>
                                    <a:cubicBezTo>
                                      <a:pt x="567" y="180"/>
                                      <a:pt x="573" y="181"/>
                                      <a:pt x="583" y="182"/>
                                    </a:cubicBezTo>
                                    <a:cubicBezTo>
                                      <a:pt x="593" y="182"/>
                                      <a:pt x="596" y="182"/>
                                      <a:pt x="621" y="182"/>
                                    </a:cubicBezTo>
                                    <a:cubicBezTo>
                                      <a:pt x="645" y="182"/>
                                      <a:pt x="648" y="182"/>
                                      <a:pt x="658" y="182"/>
                                    </a:cubicBezTo>
                                    <a:cubicBezTo>
                                      <a:pt x="668" y="181"/>
                                      <a:pt x="674" y="180"/>
                                      <a:pt x="680" y="178"/>
                                    </a:cubicBezTo>
                                    <a:cubicBezTo>
                                      <a:pt x="686" y="175"/>
                                      <a:pt x="691" y="172"/>
                                      <a:pt x="696" y="167"/>
                                    </a:cubicBezTo>
                                    <a:cubicBezTo>
                                      <a:pt x="701" y="162"/>
                                      <a:pt x="704" y="157"/>
                                      <a:pt x="706" y="151"/>
                                    </a:cubicBezTo>
                                    <a:cubicBezTo>
                                      <a:pt x="709" y="145"/>
                                      <a:pt x="710" y="139"/>
                                      <a:pt x="711" y="129"/>
                                    </a:cubicBezTo>
                                    <a:cubicBezTo>
                                      <a:pt x="711" y="119"/>
                                      <a:pt x="711" y="116"/>
                                      <a:pt x="711" y="92"/>
                                    </a:cubicBezTo>
                                    <a:cubicBezTo>
                                      <a:pt x="711" y="67"/>
                                      <a:pt x="711" y="64"/>
                                      <a:pt x="711" y="54"/>
                                    </a:cubicBezTo>
                                    <a:cubicBezTo>
                                      <a:pt x="710" y="45"/>
                                      <a:pt x="709" y="38"/>
                                      <a:pt x="706" y="32"/>
                                    </a:cubicBezTo>
                                    <a:cubicBezTo>
                                      <a:pt x="704" y="26"/>
                                      <a:pt x="701" y="21"/>
                                      <a:pt x="696" y="16"/>
                                    </a:cubicBezTo>
                                    <a:cubicBezTo>
                                      <a:pt x="691" y="11"/>
                                      <a:pt x="686" y="8"/>
                                      <a:pt x="680" y="6"/>
                                    </a:cubicBezTo>
                                    <a:cubicBezTo>
                                      <a:pt x="674" y="3"/>
                                      <a:pt x="668" y="2"/>
                                      <a:pt x="658" y="1"/>
                                    </a:cubicBezTo>
                                    <a:cubicBezTo>
                                      <a:pt x="648" y="1"/>
                                      <a:pt x="645" y="1"/>
                                      <a:pt x="621" y="1"/>
                                    </a:cubicBezTo>
                                    <a:moveTo>
                                      <a:pt x="621" y="45"/>
                                    </a:moveTo>
                                    <a:cubicBezTo>
                                      <a:pt x="595" y="45"/>
                                      <a:pt x="574" y="66"/>
                                      <a:pt x="574" y="92"/>
                                    </a:cubicBezTo>
                                    <a:cubicBezTo>
                                      <a:pt x="574" y="117"/>
                                      <a:pt x="595" y="138"/>
                                      <a:pt x="621" y="138"/>
                                    </a:cubicBezTo>
                                    <a:cubicBezTo>
                                      <a:pt x="646" y="138"/>
                                      <a:pt x="667" y="117"/>
                                      <a:pt x="667" y="92"/>
                                    </a:cubicBezTo>
                                    <a:cubicBezTo>
                                      <a:pt x="667" y="66"/>
                                      <a:pt x="646" y="45"/>
                                      <a:pt x="621" y="45"/>
                                    </a:cubicBezTo>
                                    <a:moveTo>
                                      <a:pt x="621" y="122"/>
                                    </a:moveTo>
                                    <a:cubicBezTo>
                                      <a:pt x="604" y="122"/>
                                      <a:pt x="590" y="108"/>
                                      <a:pt x="590" y="92"/>
                                    </a:cubicBezTo>
                                    <a:cubicBezTo>
                                      <a:pt x="590" y="75"/>
                                      <a:pt x="604" y="61"/>
                                      <a:pt x="621" y="61"/>
                                    </a:cubicBezTo>
                                    <a:cubicBezTo>
                                      <a:pt x="637" y="61"/>
                                      <a:pt x="651" y="75"/>
                                      <a:pt x="651" y="92"/>
                                    </a:cubicBezTo>
                                    <a:cubicBezTo>
                                      <a:pt x="651" y="108"/>
                                      <a:pt x="637" y="122"/>
                                      <a:pt x="621" y="122"/>
                                    </a:cubicBezTo>
                                    <a:moveTo>
                                      <a:pt x="680" y="43"/>
                                    </a:moveTo>
                                    <a:cubicBezTo>
                                      <a:pt x="680" y="37"/>
                                      <a:pt x="675" y="32"/>
                                      <a:pt x="669" y="32"/>
                                    </a:cubicBezTo>
                                    <a:cubicBezTo>
                                      <a:pt x="663" y="32"/>
                                      <a:pt x="658" y="37"/>
                                      <a:pt x="658" y="43"/>
                                    </a:cubicBezTo>
                                    <a:cubicBezTo>
                                      <a:pt x="658" y="49"/>
                                      <a:pt x="663" y="54"/>
                                      <a:pt x="669" y="54"/>
                                    </a:cubicBezTo>
                                    <a:cubicBezTo>
                                      <a:pt x="675" y="54"/>
                                      <a:pt x="680" y="49"/>
                                      <a:pt x="680" y="43"/>
                                    </a:cubicBezTo>
                                    <a:moveTo>
                                      <a:pt x="323" y="183"/>
                                    </a:moveTo>
                                    <a:cubicBezTo>
                                      <a:pt x="403" y="183"/>
                                      <a:pt x="448" y="116"/>
                                      <a:pt x="448" y="59"/>
                                    </a:cubicBezTo>
                                    <a:cubicBezTo>
                                      <a:pt x="448" y="57"/>
                                      <a:pt x="447" y="55"/>
                                      <a:pt x="447" y="53"/>
                                    </a:cubicBezTo>
                                    <a:cubicBezTo>
                                      <a:pt x="456" y="47"/>
                                      <a:pt x="463" y="39"/>
                                      <a:pt x="469" y="30"/>
                                    </a:cubicBezTo>
                                    <a:cubicBezTo>
                                      <a:pt x="461" y="34"/>
                                      <a:pt x="453" y="36"/>
                                      <a:pt x="444" y="37"/>
                                    </a:cubicBezTo>
                                    <a:cubicBezTo>
                                      <a:pt x="453" y="32"/>
                                      <a:pt x="460" y="23"/>
                                      <a:pt x="463" y="13"/>
                                    </a:cubicBezTo>
                                    <a:cubicBezTo>
                                      <a:pt x="455" y="18"/>
                                      <a:pt x="446" y="22"/>
                                      <a:pt x="436" y="24"/>
                                    </a:cubicBezTo>
                                    <a:cubicBezTo>
                                      <a:pt x="428" y="15"/>
                                      <a:pt x="416" y="10"/>
                                      <a:pt x="404" y="10"/>
                                    </a:cubicBezTo>
                                    <a:cubicBezTo>
                                      <a:pt x="379" y="10"/>
                                      <a:pt x="360" y="29"/>
                                      <a:pt x="360" y="53"/>
                                    </a:cubicBezTo>
                                    <a:cubicBezTo>
                                      <a:pt x="360" y="57"/>
                                      <a:pt x="360" y="60"/>
                                      <a:pt x="361" y="63"/>
                                    </a:cubicBezTo>
                                    <a:cubicBezTo>
                                      <a:pt x="325" y="62"/>
                                      <a:pt x="292" y="44"/>
                                      <a:pt x="271" y="18"/>
                                    </a:cubicBezTo>
                                    <a:cubicBezTo>
                                      <a:pt x="267" y="24"/>
                                      <a:pt x="265" y="32"/>
                                      <a:pt x="265" y="40"/>
                                    </a:cubicBezTo>
                                    <a:cubicBezTo>
                                      <a:pt x="265" y="55"/>
                                      <a:pt x="273" y="68"/>
                                      <a:pt x="284" y="76"/>
                                    </a:cubicBezTo>
                                    <a:cubicBezTo>
                                      <a:pt x="277" y="76"/>
                                      <a:pt x="270" y="74"/>
                                      <a:pt x="264" y="71"/>
                                    </a:cubicBezTo>
                                    <a:cubicBezTo>
                                      <a:pt x="264" y="71"/>
                                      <a:pt x="264" y="71"/>
                                      <a:pt x="264" y="71"/>
                                    </a:cubicBezTo>
                                    <a:cubicBezTo>
                                      <a:pt x="264" y="92"/>
                                      <a:pt x="280" y="110"/>
                                      <a:pt x="300" y="114"/>
                                    </a:cubicBezTo>
                                    <a:cubicBezTo>
                                      <a:pt x="296" y="115"/>
                                      <a:pt x="292" y="116"/>
                                      <a:pt x="288" y="116"/>
                                    </a:cubicBezTo>
                                    <a:cubicBezTo>
                                      <a:pt x="285" y="116"/>
                                      <a:pt x="282" y="115"/>
                                      <a:pt x="280" y="115"/>
                                    </a:cubicBezTo>
                                    <a:cubicBezTo>
                                      <a:pt x="285" y="132"/>
                                      <a:pt x="302" y="145"/>
                                      <a:pt x="321" y="145"/>
                                    </a:cubicBezTo>
                                    <a:cubicBezTo>
                                      <a:pt x="306" y="157"/>
                                      <a:pt x="287" y="164"/>
                                      <a:pt x="266" y="164"/>
                                    </a:cubicBezTo>
                                    <a:cubicBezTo>
                                      <a:pt x="263" y="164"/>
                                      <a:pt x="259" y="164"/>
                                      <a:pt x="256" y="163"/>
                                    </a:cubicBezTo>
                                    <a:cubicBezTo>
                                      <a:pt x="275" y="176"/>
                                      <a:pt x="298" y="183"/>
                                      <a:pt x="323" y="183"/>
                                    </a:cubicBezTo>
                                    <a:moveTo>
                                      <a:pt x="91" y="0"/>
                                    </a:moveTo>
                                    <a:cubicBezTo>
                                      <a:pt x="41" y="0"/>
                                      <a:pt x="0" y="41"/>
                                      <a:pt x="0" y="91"/>
                                    </a:cubicBezTo>
                                    <a:cubicBezTo>
                                      <a:pt x="0" y="137"/>
                                      <a:pt x="33" y="174"/>
                                      <a:pt x="77" y="181"/>
                                    </a:cubicBezTo>
                                    <a:cubicBezTo>
                                      <a:pt x="77" y="117"/>
                                      <a:pt x="77" y="117"/>
                                      <a:pt x="77" y="117"/>
                                    </a:cubicBezTo>
                                    <a:cubicBezTo>
                                      <a:pt x="54" y="117"/>
                                      <a:pt x="54" y="117"/>
                                      <a:pt x="54" y="117"/>
                                    </a:cubicBezTo>
                                    <a:cubicBezTo>
                                      <a:pt x="54" y="91"/>
                                      <a:pt x="54" y="91"/>
                                      <a:pt x="54" y="91"/>
                                    </a:cubicBezTo>
                                    <a:cubicBezTo>
                                      <a:pt x="77" y="91"/>
                                      <a:pt x="77" y="91"/>
                                      <a:pt x="77" y="91"/>
                                    </a:cubicBezTo>
                                    <a:cubicBezTo>
                                      <a:pt x="77" y="71"/>
                                      <a:pt x="77" y="71"/>
                                      <a:pt x="77" y="71"/>
                                    </a:cubicBezTo>
                                    <a:cubicBezTo>
                                      <a:pt x="77" y="48"/>
                                      <a:pt x="91" y="35"/>
                                      <a:pt x="112" y="35"/>
                                    </a:cubicBezTo>
                                    <a:cubicBezTo>
                                      <a:pt x="122" y="35"/>
                                      <a:pt x="132" y="37"/>
                                      <a:pt x="132" y="37"/>
                                    </a:cubicBezTo>
                                    <a:cubicBezTo>
                                      <a:pt x="132" y="60"/>
                                      <a:pt x="132" y="60"/>
                                      <a:pt x="132" y="60"/>
                                    </a:cubicBezTo>
                                    <a:cubicBezTo>
                                      <a:pt x="120" y="60"/>
                                      <a:pt x="120" y="60"/>
                                      <a:pt x="120" y="60"/>
                                    </a:cubicBezTo>
                                    <a:cubicBezTo>
                                      <a:pt x="109" y="60"/>
                                      <a:pt x="106" y="67"/>
                                      <a:pt x="106" y="74"/>
                                    </a:cubicBezTo>
                                    <a:cubicBezTo>
                                      <a:pt x="106" y="91"/>
                                      <a:pt x="106" y="91"/>
                                      <a:pt x="106" y="91"/>
                                    </a:cubicBezTo>
                                    <a:cubicBezTo>
                                      <a:pt x="131" y="91"/>
                                      <a:pt x="131" y="91"/>
                                      <a:pt x="131" y="91"/>
                                    </a:cubicBezTo>
                                    <a:cubicBezTo>
                                      <a:pt x="127" y="117"/>
                                      <a:pt x="127" y="117"/>
                                      <a:pt x="127" y="117"/>
                                    </a:cubicBezTo>
                                    <a:cubicBezTo>
                                      <a:pt x="106" y="117"/>
                                      <a:pt x="106" y="117"/>
                                      <a:pt x="106" y="117"/>
                                    </a:cubicBezTo>
                                    <a:cubicBezTo>
                                      <a:pt x="106" y="181"/>
                                      <a:pt x="106" y="181"/>
                                      <a:pt x="106" y="181"/>
                                    </a:cubicBezTo>
                                    <a:cubicBezTo>
                                      <a:pt x="149" y="174"/>
                                      <a:pt x="183" y="137"/>
                                      <a:pt x="183" y="91"/>
                                    </a:cubicBezTo>
                                    <a:cubicBezTo>
                                      <a:pt x="183" y="41"/>
                                      <a:pt x="142" y="0"/>
                                      <a:pt x="91" y="0"/>
                                    </a:cubicBezTo>
                                  </a:path>
                                </a:pathLst>
                              </a:custGeom>
                              <a:solidFill>
                                <a:srgbClr val="0001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inline>
                  </w:drawing>
                </mc:Choice>
                <mc:Fallback>
                  <w:pict>
                    <v:shape w14:anchorId="42A17F54" id="Freeform 18" o:spid="_x0000_s1026" style="width:44.5pt;height:23.25pt;visibility:visible;mso-wrap-style:square;mso-left-percent:-10001;mso-top-percent:-10001;mso-position-horizontal:absolute;mso-position-horizontal-relative:char;mso-position-vertical:absolute;mso-position-vertical-relative:line;mso-left-percent:-10001;mso-top-percent:-10001;v-text-anchor:top" coordsize="711,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" path="m,315c,286,19,267,48,267v27,,47,16,47,49c95,332,89,344,77,344v-10,,-14,-5,-15,-16c59,334,53,339,44,339,30,339,20,328,20,315v,-13,10,-24,24,-24c53,291,59,296,62,302v,-10,,-10,,-10c69,292,69,292,69,292v,33,,33,,33c69,336,73,339,77,339v7,,11,-8,11,-23c88,286,72,273,48,273,22,273,6,289,6,315v,25,15,42,42,42c56,357,65,355,74,350v2,5,2,5,2,5c66,361,57,362,48,362,17,362,,343,,315t62,c62,305,55,297,44,297v-10,,-17,8,-17,18c27,325,34,333,44,333v11,,18,-8,18,-18m157,315v-43,,-43,,-43,c114,327,122,334,133,334v8,,14,-3,16,-9c157,325,157,325,157,325v-2,9,-12,16,-24,16c117,341,107,330,107,313v,-17,10,-28,26,-28c148,285,158,295,158,310v,2,,3,-1,5m150,309v,-11,-6,-18,-17,-18c122,291,115,298,114,309r36,xm173,340v8,,8,,8,c181,258,181,258,181,258v-8,,-8,,-8,l173,340xm247,315v-43,,-43,,-43,c204,327,211,334,223,334v8,,13,-3,16,-9c246,325,246,325,246,325v-2,9,-11,16,-23,16c207,341,196,330,196,313v,-17,11,-28,26,-28c237,285,247,295,247,310v,2,,3,,5m240,309v,-11,-7,-18,-18,-18c212,291,205,298,204,309r36,xm259,313v,17,10,28,26,28c299,341,308,333,310,322v-8,,-8,,-8,c301,330,295,334,285,334v-11,,-19,-8,-19,-21c266,300,274,292,285,292v10,,16,4,17,12c310,304,310,304,310,304v-2,-11,-11,-19,-25,-19c269,285,259,297,259,313t94,20c351,333,348,333,346,333v-6,,-10,-1,-10,-12c336,293,336,293,336,293v15,,15,,15,c351,286,351,286,351,286v-15,,-15,,-15,c336,269,336,269,336,269v-7,,-7,,-7,c329,286,329,286,329,286v-10,,-10,,-10,c319,293,319,293,319,293v10,,10,,10,c329,322,329,322,329,322v,17,9,18,15,18c347,340,351,340,353,339v,-6,,-6,,-6m363,269v,-4,3,-7,7,-7c374,262,377,265,377,269v,4,-3,7,-7,7c366,276,363,273,363,269t3,17c374,286,374,286,374,286v,54,,54,,54c366,340,366,340,366,340r,-54xm389,313v,-15,10,-28,27,-28c433,285,444,298,444,313v,15,-11,28,-28,28c399,341,389,328,389,313t47,c436,301,429,292,416,292v-12,,-20,9,-20,21c396,325,404,334,416,334v13,,20,-9,20,-21m459,340v8,,8,,8,c467,312,467,312,467,312v,-12,5,-20,17,-20c494,292,499,298,499,311v,29,,29,,29c507,340,507,340,507,340v,-32,,-32,,-32c507,293,500,285,487,285v-11,,-18,6,-20,14c467,286,467,286,467,286v-8,,-8,,-8,l459,340xm521,324v,9,8,17,22,17c555,341,563,335,563,325v,-6,-3,-12,-11,-14c538,308,538,308,538,308v-6,-2,-8,-5,-8,-8c530,294,536,291,542,291v8,,13,4,13,9c562,300,562,300,562,300v,-9,-7,-15,-20,-15c531,285,523,291,523,300v,6,3,12,11,14c549,317,549,317,549,317v5,1,7,5,7,9c556,332,550,335,543,335v-9,,-14,-5,-14,-11c521,324,521,324,521,324t74,16c601,340,601,340,601,340v24,-54,24,-54,24,-54c617,286,617,286,617,286v-19,44,-19,44,-19,44c579,286,579,286,579,286v-8,,-8,,-8,l595,340xm634,269v,-4,2,-7,7,-7c645,262,648,265,648,269v,4,-3,7,-7,7c636,276,634,273,634,269t3,17c644,286,644,286,644,286v,54,,54,,54c637,340,637,340,637,340r,-54xm659,313v,17,11,28,27,28c700,341,709,333,710,322v-7,,-7,,-7,c701,330,695,334,686,334v-12,,-19,-8,-19,-21c667,300,674,292,686,292v9,,15,4,17,12c710,304,710,304,710,304v-1,-11,-10,-19,-24,-19c670,285,659,297,659,313m621,17v24,,27,,36,1c666,18,671,20,674,21v4,2,7,4,10,7c688,31,690,34,691,38v1,3,3,8,3,17c695,65,695,67,695,92v,24,,27,-1,36c694,137,692,142,691,145v-1,4,-3,7,-7,11c681,159,678,161,674,162v-3,2,-8,3,-17,3c648,166,645,166,621,166v-25,,-28,,-37,-1c575,165,570,164,567,162v-4,-1,-7,-3,-10,-6c553,152,551,149,550,145v-1,-3,-3,-8,-3,-17c546,119,546,116,546,92v,-25,,-27,1,-37c547,46,549,41,550,38v1,-4,3,-7,7,-10c560,25,563,23,567,21v3,-1,8,-3,17,-3c593,17,596,17,621,17t,-16c596,1,593,1,583,1,573,2,567,3,561,6v-6,2,-11,5,-16,10c540,21,537,26,535,32v-3,6,-4,13,-5,22c530,64,530,67,530,92v,24,,27,,37c531,139,532,145,535,151v2,6,5,11,10,16c550,172,555,175,561,178v6,2,12,3,22,4c593,182,596,182,621,182v24,,27,,37,c668,181,674,180,680,178v6,-3,11,-6,16,-11c701,162,704,157,706,151v3,-6,4,-12,5,-22c711,119,711,116,711,92v,-25,,-28,,-38c710,45,709,38,706,32,704,26,701,21,696,16,691,11,686,8,680,6,674,3,668,2,658,1v-10,,-13,,-37,m621,45v-26,,-47,21,-47,47c574,117,595,138,621,138v25,,46,-21,46,-46c667,66,646,45,621,45t,77c604,122,590,108,590,92v,-17,14,-31,31,-31c637,61,651,75,651,92v,16,-14,30,-30,30m680,43v,-6,-5,-11,-11,-11c663,32,658,37,658,43v,6,5,11,11,11c675,54,680,49,680,43m323,183v80,,125,-67,125,-124c448,57,447,55,447,53v9,-6,16,-14,22,-23c461,34,453,36,444,37v9,-5,16,-14,19,-24c455,18,446,22,436,24,428,15,416,10,404,10v-25,,-44,19,-44,43c360,57,360,60,361,63,325,62,292,44,271,18v-4,6,-6,14,-6,22c265,55,273,68,284,76v-7,,-14,-2,-20,-5c264,71,264,71,264,71v,21,16,39,36,43c296,115,292,116,288,116v-3,,-6,-1,-8,-1c285,132,302,145,321,145v-15,12,-34,19,-55,19c263,164,259,164,256,163v19,13,42,20,67,20m91,c41,,,41,,91v,46,33,83,77,90c77,117,77,117,77,117v-23,,-23,,-23,c54,91,54,91,54,91v23,,23,,23,c77,71,77,71,77,71,77,48,91,35,112,35v10,,20,2,20,2c132,60,132,60,132,60v-12,,-12,,-12,c109,60,106,67,106,74v,17,,17,,17c131,91,131,91,131,91v-4,26,-4,26,-4,26c106,117,106,117,106,117v,64,,64,,64c149,174,183,137,183,91,183,41,142,,91,e" fillcolor="#000100" stroked="f">
                      <v:path arrowok="t" o:connecttype="custom" o:connectlocs="39172605,218436615;39172605,194461426;30327332,181807832;30327332,241078987;27799657,221766207;94140000,216438206;99826474,206448613;94771919,205783020;109303666,226427800;155425788,216438206;156057707,209779021;163639143,208447021;168061779,208447021;163639143,208447021;221766132,195127834;207866303,190465426;217343495,226427800;238193635,179144648;236297879,226427800;280525040,208447021;250197708,208447021;295056787,207780613;320328769,205116612;290002232,226427800;339915071,205116612;342442746,189799834;343073870,223098207;394882466,190465426;375928083,226427800;400568941,179144648;402464697,190465426;433423153,222431799;433423153,189799834;432160110,18647187;436582747,96564713;368978566,109883900;344969627,61268747;368978566,11987186;344337708,10655186;338020110,100560714;415732607,121205493;449218738,61268747;415732607,665592;421419081,61268747;411309970,61268747;422682918,35962374;296319830,19979187;227452606,35295966;166798737,47283152;202811748,96564713;0,60602339;48649797,60602339;75817535,39957559;66972262,77917526" o:connectangles="0,0,0,0,0,0,0,0,0,0,0,0,0,0,0,0,0,0,0,0,0,0,0,0,0,0,0,0,0,0,0,0,0,0,0,0,0,0,0,0,0,0,0,0,0,0,0,0,0,0,0,0,0,0"/>
                      <o:lock v:ext="edit" verticies="t"/>
                      <w10:anchorlock/>
                    </v:shape>
                  </w:pict>
                </mc:Fallback>
              </mc:AlternateContent>
            </w:r>
          </w:p>
        </w:tc>
      </w:tr>
    </w:tbl>
    <w:p w14:paraId="33B6019E" w14:textId="77777777" w:rsidR="00F66E14" w:rsidRPr="00EF4ACB" w:rsidRDefault="00F66E14" w:rsidP="0044553D">
      <w:pPr>
        <w:pStyle w:val="Blankpagenote"/>
        <w:rPr>
          <w:highlight w:val="yellow"/>
        </w:rPr>
      </w:pPr>
    </w:p>
    <w:p w14:paraId="6868E210" w14:textId="4C5F65D5" w:rsidR="00F66E14" w:rsidRPr="00EF4ACB" w:rsidRDefault="00F66E14" w:rsidP="003F7134">
      <w:pPr>
        <w:pStyle w:val="Blankpagenote"/>
      </w:pPr>
    </w:p>
    <w:p w14:paraId="1AB56D96" w14:textId="0574E4BB" w:rsidR="00F66E14" w:rsidRDefault="0044553D" w:rsidP="00AF52B7">
      <w:pPr>
        <w:pStyle w:val="Blankpagenote"/>
        <w:tabs>
          <w:tab w:val="left" w:pos="6229"/>
        </w:tabs>
        <w:jc w:val="left"/>
      </w:pPr>
      <w:r>
        <w:rPr>
          <w:noProof/>
        </w:rPr>
        <w:lastRenderedPageBreak/>
        <w:drawing>
          <wp:anchor distT="0" distB="0" distL="114300" distR="114300" simplePos="0" relativeHeight="251662336" behindDoc="0" locked="0" layoutInCell="1" allowOverlap="1" wp14:anchorId="3BBC56FA" wp14:editId="0F124D84">
            <wp:simplePos x="0" y="0"/>
            <wp:positionH relativeFrom="page">
              <wp:posOffset>-65405</wp:posOffset>
            </wp:positionH>
            <wp:positionV relativeFrom="paragraph">
              <wp:posOffset>-982345</wp:posOffset>
            </wp:positionV>
            <wp:extent cx="7588885" cy="10733405"/>
            <wp:effectExtent l="0" t="0" r="0" b="0"/>
            <wp:wrapNone/>
            <wp:docPr id="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88885" cy="10733405"/>
                    </a:xfrm>
                    <a:prstGeom prst="rect">
                      <a:avLst/>
                    </a:prstGeom>
                    <a:noFill/>
                  </pic:spPr>
                </pic:pic>
              </a:graphicData>
            </a:graphic>
            <wp14:sizeRelH relativeFrom="page">
              <wp14:pctWidth>0</wp14:pctWidth>
            </wp14:sizeRelH>
            <wp14:sizeRelV relativeFrom="page">
              <wp14:pctHeight>0</wp14:pctHeight>
            </wp14:sizeRelV>
          </wp:anchor>
        </w:drawing>
      </w:r>
    </w:p>
    <w:p w14:paraId="25A0B9F8" w14:textId="33A614B3" w:rsidR="00AF52B7" w:rsidRDefault="00AF52B7" w:rsidP="0044553D">
      <w:pPr>
        <w:pStyle w:val="Blankpagenote"/>
        <w:tabs>
          <w:tab w:val="left" w:pos="6229"/>
        </w:tabs>
        <w:jc w:val="left"/>
      </w:pPr>
    </w:p>
    <w:p w14:paraId="220B3603" w14:textId="77777777" w:rsidR="00AF52B7" w:rsidRDefault="00AF52B7" w:rsidP="008B4106">
      <w:pPr>
        <w:pStyle w:val="BodyText"/>
      </w:pPr>
    </w:p>
    <w:p w14:paraId="2323DF8B" w14:textId="77777777" w:rsidR="00AF52B7" w:rsidRDefault="00AF52B7" w:rsidP="008B4106">
      <w:pPr>
        <w:pStyle w:val="BodyText"/>
      </w:pPr>
    </w:p>
    <w:p w14:paraId="324391CB" w14:textId="69E2450E" w:rsidR="00AF52B7" w:rsidRDefault="00AF52B7" w:rsidP="008B4106">
      <w:pPr>
        <w:pStyle w:val="BodyText"/>
      </w:pPr>
    </w:p>
    <w:p w14:paraId="653CD85C" w14:textId="77777777" w:rsidR="00AF52B7" w:rsidRDefault="00AF52B7" w:rsidP="008B4106">
      <w:pPr>
        <w:pStyle w:val="BodyText"/>
      </w:pPr>
    </w:p>
    <w:p w14:paraId="6A45236D" w14:textId="77777777" w:rsidR="00AF52B7" w:rsidRDefault="00AF52B7" w:rsidP="008B4106">
      <w:pPr>
        <w:pStyle w:val="BodyText"/>
      </w:pPr>
    </w:p>
    <w:p w14:paraId="796CFCE9" w14:textId="77777777" w:rsidR="00AF52B7" w:rsidRDefault="00AF52B7" w:rsidP="008B4106">
      <w:pPr>
        <w:pStyle w:val="BodyText"/>
        <w:sectPr w:rsidR="00AF52B7" w:rsidSect="00077E48">
          <w:headerReference w:type="default" r:id="rId33"/>
          <w:headerReference w:type="first" r:id="rId34"/>
          <w:pgSz w:w="11906" w:h="16838" w:code="9"/>
          <w:pgMar w:top="1440" w:right="1021" w:bottom="1134" w:left="1440" w:header="709" w:footer="709" w:gutter="0"/>
          <w:cols w:space="708"/>
          <w:titlePg/>
          <w:docGrid w:linePitch="360"/>
        </w:sectPr>
      </w:pPr>
    </w:p>
    <w:p w14:paraId="652F818F" w14:textId="77777777" w:rsidR="00F66E14" w:rsidRPr="00EF4ACB" w:rsidRDefault="00F66E14" w:rsidP="008B4106">
      <w:pPr>
        <w:pStyle w:val="BodyText"/>
      </w:pPr>
    </w:p>
    <w:sectPr w:rsidR="00F66E14" w:rsidRPr="00EF4ACB" w:rsidSect="00F66E14">
      <w:headerReference w:type="even" r:id="rId35"/>
      <w:headerReference w:type="default" r:id="rId36"/>
      <w:footerReference w:type="even" r:id="rId37"/>
      <w:footerReference w:type="default" r:id="rId38"/>
      <w:headerReference w:type="first" r:id="rId39"/>
      <w:footerReference w:type="first" r:id="rId40"/>
      <w:type w:val="continuous"/>
      <w:pgSz w:w="11906" w:h="16838" w:code="9"/>
      <w:pgMar w:top="1440" w:right="1021" w:bottom="1134"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4CB9BAE" w14:textId="77777777" w:rsidR="00F96C9B" w:rsidRDefault="00F96C9B" w:rsidP="001375B0">
      <w:r>
        <w:separator/>
      </w:r>
    </w:p>
  </w:endnote>
  <w:endnote w:type="continuationSeparator" w:id="0">
    <w:p w14:paraId="4A02CC84" w14:textId="77777777" w:rsidR="00F96C9B" w:rsidRDefault="00F96C9B" w:rsidP="001375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Arial">
    <w:panose1 w:val="020B0604020202020204"/>
    <w:charset w:val="00"/>
    <w:family w:val="swiss"/>
    <w:pitch w:val="variable"/>
    <w:sig w:usb0="E0002EFF" w:usb1="C000785B" w:usb2="00000009" w:usb3="00000000" w:csb0="000001FF" w:csb1="00000000"/>
  </w:font>
  <w:font w:name="Arial Bold">
    <w:panose1 w:val="020B0704020202020204"/>
    <w:charset w:val="00"/>
    <w:family w:val="auto"/>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AFF" w:usb1="C000605B" w:usb2="00000029" w:usb3="00000000" w:csb0="000101FF" w:csb1="00000000"/>
  </w:font>
  <w:font w:name="ITC Stone Sans Std Medium">
    <w:panose1 w:val="020B0602030503020204"/>
    <w:charset w:val="00"/>
    <w:family w:val="swiss"/>
    <w:notTrueType/>
    <w:pitch w:val="variable"/>
    <w:sig w:usb0="00000003" w:usb1="00000000" w:usb2="00000000" w:usb3="00000000" w:csb0="00000001" w:csb1="00000000"/>
  </w:font>
  <w:font w:name="DengXian">
    <w:altName w:val="等线"/>
    <w:panose1 w:val="03000509000000000000"/>
    <w:charset w:val="86"/>
    <w:family w:val="script"/>
    <w:pitch w:val="fixed"/>
    <w:sig w:usb0="800002BF" w:usb1="38CF7CFA" w:usb2="00000016" w:usb3="00000000" w:csb0="00040001"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C42DBC" w14:textId="77777777" w:rsidR="00371426" w:rsidRDefault="00371426">
    <w:r>
      <w:cr/>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4FDA2" w14:textId="77777777" w:rsidR="00371426" w:rsidRPr="00DC36B2" w:rsidRDefault="00371426" w:rsidP="00DC36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9A379F" w14:textId="3DBF8388" w:rsidR="00371426" w:rsidRPr="00801FF3" w:rsidRDefault="00371426" w:rsidP="00581248">
    <w:pPr>
      <w:pStyle w:val="Footer"/>
      <w:pBdr>
        <w:top w:val="single" w:sz="4" w:space="1" w:color="auto"/>
      </w:pBdr>
    </w:pPr>
    <w:r w:rsidRPr="00801FF3">
      <w:t xml:space="preserve">Page </w:t>
    </w:r>
    <w:r w:rsidRPr="00801FF3">
      <w:fldChar w:fldCharType="begin"/>
    </w:r>
    <w:r w:rsidRPr="00801FF3">
      <w:instrText xml:space="preserve"> PAGE   \* MERGEFORMAT </w:instrText>
    </w:r>
    <w:r w:rsidRPr="00801FF3">
      <w:fldChar w:fldCharType="separate"/>
    </w:r>
    <w:r w:rsidRPr="00801FF3">
      <w:rPr>
        <w:noProof/>
      </w:rPr>
      <w:t>14</w:t>
    </w:r>
    <w:r w:rsidRPr="00801FF3">
      <w:rPr>
        <w:noProof/>
      </w:rPr>
      <w:fldChar w:fldCharType="end"/>
    </w:r>
    <w:r w:rsidRPr="00801FF3">
      <w:t xml:space="preserve"> of </w:t>
    </w:r>
    <w:r>
      <w:fldChar w:fldCharType="begin"/>
    </w:r>
    <w:r>
      <w:instrText xml:space="preserve"> PAGEREF  lastpage2 \# "0"  \* MERGEFORMAT </w:instrText>
    </w:r>
    <w:r>
      <w:fldChar w:fldCharType="separate"/>
    </w:r>
    <w:r w:rsidR="00971EE4">
      <w:rPr>
        <w:noProof/>
      </w:rPr>
      <w:t>27</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E45AC" w14:textId="5A19643B" w:rsidR="00371426" w:rsidRPr="00801FF3" w:rsidRDefault="00371426" w:rsidP="009E6D4C">
    <w:pPr>
      <w:pStyle w:val="Footer"/>
      <w:pBdr>
        <w:top w:val="single" w:sz="4" w:space="1" w:color="auto"/>
      </w:pBdr>
      <w:jc w:val="right"/>
    </w:pPr>
    <w:r w:rsidRPr="00801FF3">
      <w:t xml:space="preserve">Page </w:t>
    </w:r>
    <w:r w:rsidRPr="00801FF3">
      <w:fldChar w:fldCharType="begin"/>
    </w:r>
    <w:r w:rsidRPr="00801FF3">
      <w:instrText xml:space="preserve"> PAGE   \* MERGEFORMAT </w:instrText>
    </w:r>
    <w:r w:rsidRPr="00801FF3">
      <w:fldChar w:fldCharType="separate"/>
    </w:r>
    <w:r w:rsidRPr="00801FF3">
      <w:rPr>
        <w:noProof/>
      </w:rPr>
      <w:t>15</w:t>
    </w:r>
    <w:r w:rsidRPr="00801FF3">
      <w:rPr>
        <w:noProof/>
      </w:rPr>
      <w:fldChar w:fldCharType="end"/>
    </w:r>
    <w:r w:rsidRPr="00801FF3">
      <w:t xml:space="preserve"> of </w:t>
    </w:r>
    <w:r>
      <w:fldChar w:fldCharType="begin"/>
    </w:r>
    <w:r>
      <w:instrText xml:space="preserve"> PAGEREF  lastpage2 \# "0"  \* MERGEFORMAT </w:instrText>
    </w:r>
    <w:r>
      <w:fldChar w:fldCharType="separate"/>
    </w:r>
    <w:r w:rsidR="00971EE4">
      <w:rPr>
        <w:noProof/>
      </w:rPr>
      <w:t>27</w:t>
    </w:r>
    <w: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0890E4" w14:textId="77777777" w:rsidR="00371426" w:rsidRPr="005D6CFA" w:rsidRDefault="00371426" w:rsidP="00DE1C25">
    <w:pPr>
      <w:pStyle w:val="Footer"/>
      <w:pBdr>
        <w:top w:val="single" w:sz="4" w:space="1" w:color="auto"/>
      </w:pBdr>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fldChar w:fldCharType="begin"/>
    </w:r>
    <w:r>
      <w:instrText xml:space="preserve"> PAGEREF  lastpage \# "0"  \* MERGEFORMAT </w:instrText>
    </w:r>
    <w:r>
      <w:fldChar w:fldCharType="separate"/>
    </w:r>
    <w:r w:rsidRPr="007C6348">
      <w:rPr>
        <w:b/>
        <w:bCs/>
        <w:noProof/>
        <w:lang w:val="en-US"/>
      </w:rPr>
      <w:t>17</w:t>
    </w:r>
    <w: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87F4DB" w14:textId="77777777" w:rsidR="00371426" w:rsidRPr="00470B7A" w:rsidRDefault="00371426" w:rsidP="00470B7A">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0B3EEE" w14:textId="77777777" w:rsidR="00371426" w:rsidRPr="00470B7A" w:rsidRDefault="00371426" w:rsidP="00470B7A">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9FEC35" w14:textId="77777777" w:rsidR="00371426" w:rsidRPr="00DC36B2" w:rsidRDefault="00371426" w:rsidP="00DC36B2">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E72EAD" w14:textId="77777777" w:rsidR="00371426" w:rsidRPr="00470B7A" w:rsidRDefault="00371426" w:rsidP="00470B7A">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02E05AF" w14:textId="77777777" w:rsidR="00371426" w:rsidRPr="00470B7A" w:rsidRDefault="00371426" w:rsidP="00470B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0F0BA3" w14:textId="77777777" w:rsidR="00F96C9B" w:rsidRDefault="00F96C9B" w:rsidP="001375B0">
      <w:r>
        <w:separator/>
      </w:r>
    </w:p>
  </w:footnote>
  <w:footnote w:type="continuationSeparator" w:id="0">
    <w:p w14:paraId="074921D0" w14:textId="77777777" w:rsidR="00F96C9B" w:rsidRDefault="00F96C9B" w:rsidP="001375B0">
      <w:r>
        <w:continuationSeparator/>
      </w:r>
    </w:p>
  </w:footnote>
  <w:footnote w:id="1">
    <w:p w14:paraId="6B91D84C" w14:textId="77777777" w:rsidR="00371426" w:rsidRPr="00F5195A" w:rsidRDefault="00371426" w:rsidP="00743730">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2">
    <w:p w14:paraId="5523D0DF" w14:textId="77777777" w:rsidR="00371426" w:rsidRPr="00F5195A" w:rsidRDefault="00371426"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Section 219D of the </w:t>
      </w:r>
      <w:r w:rsidRPr="00F5195A">
        <w:rPr>
          <w:rFonts w:ascii="Century Gothic" w:hAnsi="Century Gothic"/>
          <w:i/>
          <w:lang w:val="en-US"/>
        </w:rPr>
        <w:t>Local Government Act</w:t>
      </w:r>
      <w:r w:rsidRPr="00F5195A">
        <w:rPr>
          <w:rFonts w:ascii="Century Gothic" w:hAnsi="Century Gothic"/>
          <w:lang w:val="en-US"/>
        </w:rPr>
        <w:t xml:space="preserve"> </w:t>
      </w:r>
      <w:r w:rsidRPr="00F5195A">
        <w:rPr>
          <w:rFonts w:ascii="Century Gothic" w:hAnsi="Century Gothic"/>
          <w:i/>
          <w:lang w:val="en-US"/>
        </w:rPr>
        <w:t>1989.</w:t>
      </w:r>
    </w:p>
  </w:footnote>
  <w:footnote w:id="3">
    <w:p w14:paraId="5A10DF31" w14:textId="77777777" w:rsidR="00371426" w:rsidRPr="00F5195A" w:rsidRDefault="00371426" w:rsidP="008500AC">
      <w:pPr>
        <w:pStyle w:val="FootnoteText"/>
        <w:rPr>
          <w:rFonts w:ascii="Century Gothic" w:hAnsi="Century Gothic"/>
        </w:rPr>
      </w:pPr>
      <w:r w:rsidRPr="00F5195A">
        <w:rPr>
          <w:rStyle w:val="FootnoteReference"/>
          <w:rFonts w:ascii="Century Gothic" w:hAnsi="Century Gothic"/>
        </w:rPr>
        <w:footnoteRef/>
      </w:r>
      <w:r w:rsidRPr="00F5195A">
        <w:rPr>
          <w:rFonts w:ascii="Century Gothic" w:hAnsi="Century Gothic"/>
        </w:rPr>
        <w:t xml:space="preserve"> </w:t>
      </w:r>
      <w:r>
        <w:rPr>
          <w:rFonts w:ascii="Century Gothic" w:hAnsi="Century Gothic"/>
        </w:rPr>
        <w:t>I</w:t>
      </w:r>
      <w:r w:rsidRPr="00F5195A">
        <w:rPr>
          <w:rFonts w:ascii="Century Gothic" w:hAnsi="Century Gothic"/>
        </w:rPr>
        <w:t>bid.</w:t>
      </w:r>
    </w:p>
  </w:footnote>
  <w:footnote w:id="4">
    <w:p w14:paraId="544F2F05" w14:textId="77777777" w:rsidR="00371426" w:rsidRPr="00F5195A" w:rsidRDefault="00371426"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w:t>
      </w:r>
      <w:r w:rsidRPr="00F5195A">
        <w:rPr>
          <w:rFonts w:ascii="Century Gothic" w:hAnsi="Century Gothic"/>
          <w:lang w:val="en-US"/>
        </w:rPr>
        <w:t xml:space="preserve">.id is a consulting company </w:t>
      </w:r>
      <w:r w:rsidRPr="00F5195A">
        <w:rPr>
          <w:rFonts w:ascii="Century Gothic" w:hAnsi="Century Gothic"/>
          <w:lang w:val="en-US"/>
        </w:rPr>
        <w:t>specialising in population and demographic analysis and prediction information products in most jurisdictions in Australia and New Zealand.</w:t>
      </w:r>
    </w:p>
  </w:footnote>
  <w:footnote w:id="5">
    <w:p w14:paraId="7CCBB2F2" w14:textId="77777777" w:rsidR="00371426" w:rsidRPr="00F5195A" w:rsidRDefault="00371426" w:rsidP="00675FC6">
      <w:pPr>
        <w:pStyle w:val="FootnoteText"/>
        <w:rPr>
          <w:rFonts w:ascii="Century Gothic" w:hAnsi="Century Gothic"/>
          <w:lang w:val="en-US"/>
        </w:rPr>
      </w:pPr>
      <w:r w:rsidRPr="00F5195A">
        <w:rPr>
          <w:rStyle w:val="FootnoteReference"/>
          <w:rFonts w:ascii="Century Gothic" w:hAnsi="Century Gothic"/>
        </w:rPr>
        <w:footnoteRef/>
      </w:r>
      <w:r w:rsidRPr="00F5195A">
        <w:rPr>
          <w:rFonts w:ascii="Century Gothic" w:hAnsi="Century Gothic"/>
        </w:rPr>
        <w:t xml:space="preserve"> Section 5</w:t>
      </w:r>
      <w:r w:rsidRPr="00F5195A">
        <w:rPr>
          <w:rFonts w:ascii="Century Gothic" w:hAnsi="Century Gothic"/>
        </w:rPr>
        <w:t xml:space="preserve">B(1) of the </w:t>
      </w:r>
      <w:r w:rsidRPr="00F5195A">
        <w:rPr>
          <w:rFonts w:ascii="Century Gothic" w:hAnsi="Century Gothic"/>
          <w:i/>
        </w:rPr>
        <w:t>Local Government Act 1989.</w:t>
      </w:r>
    </w:p>
  </w:footnote>
  <w:footnote w:id="6">
    <w:p w14:paraId="2D9CEFD7" w14:textId="10D49333"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lang w:val="en-US"/>
        </w:rPr>
        <w:t xml:space="preserve">Mansfield Shire Council, ‘Council Plan 2017-2021’, </w:t>
      </w:r>
      <w:hyperlink r:id="rId1" w:history="1">
        <w:r w:rsidRPr="00672612">
          <w:rPr>
            <w:rStyle w:val="Hyperlink"/>
            <w:rFonts w:ascii="Century Gothic" w:hAnsi="Century Gothic"/>
            <w:lang w:val="en-US"/>
          </w:rPr>
          <w:t>https://www.mansfield.vic.gov.au/sites/default/files/Mansfield%20Shire%20Council%20Adopted%20Council%20Plan%202017-21%20and%20Strategic%20Resource%20Plan%202018-22.pdf</w:t>
        </w:r>
      </w:hyperlink>
      <w:r w:rsidRPr="00672612">
        <w:rPr>
          <w:rFonts w:ascii="Century Gothic" w:hAnsi="Century Gothic"/>
          <w:lang w:val="en-US"/>
        </w:rPr>
        <w:t>, accessed</w:t>
      </w:r>
      <w:r>
        <w:rPr>
          <w:rFonts w:ascii="Century Gothic" w:hAnsi="Century Gothic"/>
          <w:lang w:val="en-US"/>
        </w:rPr>
        <w:t xml:space="preserve"> 13</w:t>
      </w:r>
      <w:r w:rsidRPr="00B33C3D">
        <w:rPr>
          <w:rFonts w:ascii="Century Gothic" w:hAnsi="Century Gothic"/>
          <w:lang w:val="en-US"/>
        </w:rPr>
        <w:t xml:space="preserve"> March 2020.</w:t>
      </w:r>
    </w:p>
  </w:footnote>
  <w:footnote w:id="7">
    <w:p w14:paraId="78A9E3BE" w14:textId="035C2DD5"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lang w:val="en-US"/>
        </w:rPr>
        <w:t xml:space="preserve">Mount Buller and Mount Stirling Alpine Resort Management Board, ‘About’, </w:t>
      </w:r>
      <w:hyperlink r:id="rId2" w:history="1">
        <w:r w:rsidRPr="00672612">
          <w:rPr>
            <w:rStyle w:val="Hyperlink"/>
            <w:rFonts w:ascii="Century Gothic" w:hAnsi="Century Gothic"/>
            <w:lang w:val="en-US"/>
          </w:rPr>
          <w:t>http://rmb.mtbuller.com.au/about.php</w:t>
        </w:r>
      </w:hyperlink>
      <w:r w:rsidRPr="00672612">
        <w:rPr>
          <w:rFonts w:ascii="Century Gothic" w:hAnsi="Century Gothic"/>
          <w:lang w:val="en-US"/>
        </w:rPr>
        <w:t xml:space="preserve">, accessed </w:t>
      </w:r>
      <w:r>
        <w:rPr>
          <w:rFonts w:ascii="Century Gothic" w:hAnsi="Century Gothic"/>
          <w:lang w:val="en-US"/>
        </w:rPr>
        <w:t>13</w:t>
      </w:r>
      <w:r w:rsidRPr="00B33C3D">
        <w:rPr>
          <w:rFonts w:ascii="Century Gothic" w:hAnsi="Century Gothic"/>
          <w:lang w:val="en-US"/>
        </w:rPr>
        <w:t xml:space="preserve"> March 2020</w:t>
      </w:r>
      <w:r>
        <w:rPr>
          <w:rFonts w:ascii="Century Gothic" w:hAnsi="Century Gothic"/>
          <w:lang w:val="en-US"/>
        </w:rPr>
        <w:t>.</w:t>
      </w:r>
    </w:p>
  </w:footnote>
  <w:footnote w:id="8">
    <w:p w14:paraId="2892EBA8" w14:textId="61DA10DA" w:rsidR="00371426" w:rsidRPr="00672612" w:rsidRDefault="00371426" w:rsidP="00EC1B3E">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color w:val="000000"/>
          <w:lang w:val="en-US"/>
        </w:rPr>
        <w:t xml:space="preserve">Australian Bureau of Statistics, ‘2016 Census </w:t>
      </w:r>
      <w:r w:rsidRPr="00672612">
        <w:rPr>
          <w:rFonts w:ascii="Century Gothic" w:hAnsi="Century Gothic"/>
          <w:color w:val="000000"/>
          <w:lang w:val="en-US"/>
        </w:rPr>
        <w:t xml:space="preserve">QuickStats: Mansfield (S)’, </w:t>
      </w:r>
      <w:hyperlink r:id="rId3" w:history="1">
        <w:r w:rsidRPr="00672612">
          <w:rPr>
            <w:rStyle w:val="Hyperlink"/>
            <w:rFonts w:ascii="Century Gothic" w:hAnsi="Century Gothic"/>
            <w:lang w:val="en-US"/>
          </w:rPr>
          <w:t>https://quickstats.censusdata.abs.gov.au/census_services/getproduct/census/2016/quickstat/LGA24250?opendocument</w:t>
        </w:r>
      </w:hyperlink>
      <w:r w:rsidRPr="00672612">
        <w:rPr>
          <w:rFonts w:ascii="Century Gothic" w:hAnsi="Century Gothic"/>
          <w:color w:val="000000"/>
          <w:lang w:val="en-US"/>
        </w:rPr>
        <w:t xml:space="preserve">, accessed </w:t>
      </w:r>
      <w:r>
        <w:rPr>
          <w:rFonts w:ascii="Century Gothic" w:hAnsi="Century Gothic"/>
          <w:lang w:val="en-US"/>
        </w:rPr>
        <w:t>13</w:t>
      </w:r>
      <w:r w:rsidRPr="00B33C3D">
        <w:rPr>
          <w:rFonts w:ascii="Century Gothic" w:hAnsi="Century Gothic"/>
          <w:lang w:val="en-US"/>
        </w:rPr>
        <w:t xml:space="preserve"> March 2020</w:t>
      </w:r>
      <w:r>
        <w:rPr>
          <w:rFonts w:ascii="Century Gothic" w:hAnsi="Century Gothic"/>
          <w:lang w:val="en-US"/>
        </w:rPr>
        <w:t>.</w:t>
      </w:r>
    </w:p>
  </w:footnote>
  <w:footnote w:id="9">
    <w:p w14:paraId="27675AC8" w14:textId="563C6323" w:rsidR="00371426" w:rsidRPr="00672612" w:rsidRDefault="00371426" w:rsidP="00AB619D">
      <w:pPr>
        <w:pStyle w:val="FootnoteText"/>
        <w:rPr>
          <w:rFonts w:ascii="Century Gothic" w:hAnsi="Century Gothic"/>
          <w:highlight w:val="yellow"/>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color w:val="000000"/>
          <w:lang w:val="en-US"/>
        </w:rPr>
        <w:t xml:space="preserve">Australian Bureau of Statistics, ‘2016 Census </w:t>
      </w:r>
      <w:r w:rsidRPr="00672612">
        <w:rPr>
          <w:rFonts w:ascii="Century Gothic" w:hAnsi="Century Gothic"/>
          <w:color w:val="000000"/>
          <w:lang w:val="en-US"/>
        </w:rPr>
        <w:t xml:space="preserve">QuickStats’, </w:t>
      </w:r>
      <w:hyperlink r:id="rId4" w:history="1">
        <w:r w:rsidRPr="00672612">
          <w:rPr>
            <w:rStyle w:val="Hyperlink"/>
            <w:rFonts w:ascii="Century Gothic" w:hAnsi="Century Gothic"/>
            <w:lang w:val="en-US"/>
          </w:rPr>
          <w:t>https://quickstats.censusdata.abs.gov.au/census_services/getproduct/census/2016/quickstat/036</w:t>
        </w:r>
      </w:hyperlink>
      <w:r w:rsidRPr="00672612">
        <w:rPr>
          <w:rFonts w:ascii="Century Gothic" w:hAnsi="Century Gothic"/>
          <w:color w:val="000000"/>
          <w:lang w:val="en-US"/>
        </w:rPr>
        <w:t xml:space="preserve">, accessed </w:t>
      </w:r>
      <w:r>
        <w:rPr>
          <w:rFonts w:ascii="Century Gothic" w:hAnsi="Century Gothic"/>
          <w:lang w:val="en-US"/>
        </w:rPr>
        <w:t>13</w:t>
      </w:r>
      <w:r w:rsidRPr="00B33C3D">
        <w:rPr>
          <w:rFonts w:ascii="Century Gothic" w:hAnsi="Century Gothic"/>
          <w:lang w:val="en-US"/>
        </w:rPr>
        <w:t xml:space="preserve"> March 2020</w:t>
      </w:r>
      <w:r>
        <w:rPr>
          <w:rFonts w:ascii="Century Gothic" w:hAnsi="Century Gothic"/>
          <w:lang w:val="en-US"/>
        </w:rPr>
        <w:t>.</w:t>
      </w:r>
    </w:p>
  </w:footnote>
  <w:footnote w:id="10">
    <w:p w14:paraId="431280D3" w14:textId="07521CAF"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Mansfield Shire Council, ‘Economic Development Strategy Review Action Plan 2013-2017’,</w:t>
      </w:r>
      <w:r w:rsidRPr="00672612">
        <w:rPr>
          <w:rFonts w:ascii="Century Gothic" w:hAnsi="Century Gothic"/>
          <w:lang w:val="en-US"/>
        </w:rPr>
        <w:t xml:space="preserve"> </w:t>
      </w:r>
      <w:hyperlink r:id="rId5" w:history="1">
        <w:r w:rsidRPr="000C2DA1">
          <w:rPr>
            <w:rStyle w:val="Hyperlink"/>
            <w:rFonts w:ascii="Century Gothic" w:hAnsi="Century Gothic"/>
            <w:lang w:val="en-US"/>
          </w:rPr>
          <w:t>https://www.mansfield.vic.gov.au/sites/default/files/ECONOMIC_DEVELOPMENT_STRATEGY_REVIEW_2013-2017_1.sflb_.pdf</w:t>
        </w:r>
      </w:hyperlink>
      <w:r w:rsidRPr="00672612">
        <w:rPr>
          <w:rFonts w:ascii="Century Gothic" w:hAnsi="Century Gothic"/>
          <w:lang w:val="en-US"/>
        </w:rPr>
        <w:t>, accessed</w:t>
      </w:r>
      <w:r>
        <w:rPr>
          <w:rFonts w:ascii="Century Gothic" w:hAnsi="Century Gothic"/>
          <w:lang w:val="en-US"/>
        </w:rPr>
        <w:t xml:space="preserve"> 13 March 2020.</w:t>
      </w:r>
    </w:p>
  </w:footnote>
  <w:footnote w:id="11">
    <w:p w14:paraId="37E4F425" w14:textId="727ADEE9"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Know Your Council, ‘Mansfield Shire’,</w:t>
      </w:r>
      <w:r w:rsidRPr="00672612">
        <w:rPr>
          <w:rFonts w:ascii="Century Gothic" w:hAnsi="Century Gothic"/>
          <w:lang w:val="en-US"/>
        </w:rPr>
        <w:t xml:space="preserve"> </w:t>
      </w:r>
      <w:hyperlink r:id="rId6" w:history="1">
        <w:r w:rsidRPr="00672612">
          <w:rPr>
            <w:rStyle w:val="Hyperlink"/>
            <w:rFonts w:ascii="Century Gothic" w:hAnsi="Century Gothic"/>
            <w:lang w:val="en-US"/>
          </w:rPr>
          <w:t>http://knowyourcouncil.vic.gov.au/councils/mansfield</w:t>
        </w:r>
      </w:hyperlink>
      <w:r w:rsidRPr="00672612">
        <w:rPr>
          <w:rFonts w:ascii="Century Gothic" w:hAnsi="Century Gothic"/>
          <w:lang w:val="en-US"/>
        </w:rPr>
        <w:t xml:space="preserve"> , accessed </w:t>
      </w:r>
      <w:r>
        <w:rPr>
          <w:rFonts w:ascii="Century Gothic" w:hAnsi="Century Gothic"/>
          <w:lang w:val="en-US"/>
        </w:rPr>
        <w:t>13 March 2020.</w:t>
      </w:r>
    </w:p>
  </w:footnote>
  <w:footnote w:id="12">
    <w:p w14:paraId="657712F2" w14:textId="3FC48620"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Urban Enterprise, ‘Mansfield Shire economic profile – March 2018’,</w:t>
      </w:r>
      <w:r w:rsidRPr="00672612">
        <w:rPr>
          <w:rFonts w:ascii="Century Gothic" w:hAnsi="Century Gothic"/>
          <w:lang w:val="en-US"/>
        </w:rPr>
        <w:t xml:space="preserve"> </w:t>
      </w:r>
      <w:hyperlink r:id="rId7" w:history="1">
        <w:r w:rsidRPr="006D2882">
          <w:rPr>
            <w:rStyle w:val="Hyperlink"/>
            <w:rFonts w:ascii="Century Gothic" w:hAnsi="Century Gothic"/>
            <w:lang w:val="en-US"/>
          </w:rPr>
          <w:t>https://www.mansfield.vic.gov.au/sites/default/files/Mansfield%20Shire%20Economic%20Profile%20and%20Directions%20Paper%2022-02-19.pdf</w:t>
        </w:r>
      </w:hyperlink>
      <w:r w:rsidRPr="006D2882">
        <w:rPr>
          <w:rStyle w:val="Hyperlink"/>
        </w:rPr>
        <w:t>,</w:t>
      </w:r>
      <w:r w:rsidRPr="00672612">
        <w:rPr>
          <w:rFonts w:ascii="Century Gothic" w:hAnsi="Century Gothic"/>
          <w:lang w:val="en-US"/>
        </w:rPr>
        <w:t xml:space="preserve"> accessed</w:t>
      </w:r>
      <w:r>
        <w:rPr>
          <w:rFonts w:ascii="Century Gothic" w:hAnsi="Century Gothic"/>
          <w:lang w:val="en-US"/>
        </w:rPr>
        <w:t xml:space="preserve"> 13 March 2020.</w:t>
      </w:r>
    </w:p>
  </w:footnote>
  <w:footnote w:id="13">
    <w:p w14:paraId="241EB026" w14:textId="52FFC6AC"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Mansfield Shire Council, ‘About Mansfield Shire’,</w:t>
      </w:r>
      <w:r w:rsidRPr="00672612">
        <w:rPr>
          <w:rFonts w:ascii="Century Gothic" w:hAnsi="Century Gothic"/>
          <w:lang w:val="en-US"/>
        </w:rPr>
        <w:t xml:space="preserve"> </w:t>
      </w:r>
      <w:hyperlink r:id="rId8" w:history="1">
        <w:r w:rsidRPr="00672612">
          <w:rPr>
            <w:rStyle w:val="Hyperlink"/>
            <w:rFonts w:ascii="Century Gothic" w:hAnsi="Century Gothic"/>
            <w:lang w:val="en-US"/>
          </w:rPr>
          <w:t>https://www.mansfield.vic.gov.au/my-council/about-mansfield-shire</w:t>
        </w:r>
      </w:hyperlink>
      <w:r w:rsidRPr="00672612">
        <w:rPr>
          <w:rFonts w:ascii="Century Gothic" w:hAnsi="Century Gothic"/>
          <w:lang w:val="en-US"/>
        </w:rPr>
        <w:t xml:space="preserve">, accessed </w:t>
      </w:r>
      <w:r>
        <w:rPr>
          <w:rFonts w:ascii="Century Gothic" w:hAnsi="Century Gothic"/>
          <w:lang w:val="en-US"/>
        </w:rPr>
        <w:t>13 March 2020.</w:t>
      </w:r>
    </w:p>
  </w:footnote>
  <w:footnote w:id="14">
    <w:p w14:paraId="48585A4D" w14:textId="53B93DB6" w:rsidR="00371426" w:rsidRPr="00672612" w:rsidRDefault="00371426" w:rsidP="00AB619D">
      <w:pPr>
        <w:pStyle w:val="FootnoteText"/>
        <w:rPr>
          <w:rFonts w:ascii="Century Gothic" w:hAnsi="Century Gothic"/>
          <w:highlight w:val="yellow"/>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color w:val="000000"/>
          <w:lang w:val="en-US"/>
        </w:rPr>
        <w:t xml:space="preserve">Australian Bureau of Statistics, ‘Region Data Summary: Mansfield (S) (LGA)’, </w:t>
      </w:r>
      <w:hyperlink r:id="rId9" w:anchor="/" w:history="1">
        <w:r w:rsidRPr="00672612">
          <w:rPr>
            <w:rStyle w:val="Hyperlink"/>
            <w:rFonts w:ascii="Century Gothic" w:hAnsi="Century Gothic"/>
            <w:lang w:val="en-US"/>
          </w:rPr>
          <w:t>https://itt.abs.gov.au/itt/r.jsp?databyregion&amp;ref=CTA2#/</w:t>
        </w:r>
      </w:hyperlink>
      <w:r w:rsidRPr="00672612">
        <w:rPr>
          <w:rFonts w:ascii="Century Gothic" w:hAnsi="Century Gothic"/>
          <w:color w:val="000000"/>
          <w:lang w:val="en-US"/>
        </w:rPr>
        <w:t xml:space="preserve">, accessed </w:t>
      </w:r>
      <w:r>
        <w:rPr>
          <w:rFonts w:ascii="Century Gothic" w:hAnsi="Century Gothic"/>
          <w:lang w:val="en-US"/>
        </w:rPr>
        <w:t>13 March 2020.</w:t>
      </w:r>
    </w:p>
  </w:footnote>
  <w:footnote w:id="15">
    <w:p w14:paraId="008D142B" w14:textId="77777777" w:rsidR="00371426" w:rsidRPr="00672612" w:rsidRDefault="00371426" w:rsidP="00AB619D">
      <w:pPr>
        <w:pStyle w:val="FootnoteText"/>
        <w:rPr>
          <w:rFonts w:ascii="Century Gothic" w:hAnsi="Century Gothic"/>
          <w:color w:val="000000"/>
          <w:lang w:val="en-US"/>
        </w:rPr>
      </w:pPr>
      <w:r w:rsidRPr="00672612">
        <w:rPr>
          <w:rStyle w:val="FootnoteReference"/>
          <w:rFonts w:ascii="Century Gothic" w:hAnsi="Century Gothic"/>
          <w:color w:val="000000"/>
        </w:rPr>
        <w:footnoteRef/>
      </w:r>
      <w:r w:rsidRPr="00672612">
        <w:rPr>
          <w:rFonts w:ascii="Century Gothic" w:hAnsi="Century Gothic"/>
          <w:color w:val="000000"/>
        </w:rPr>
        <w:t xml:space="preserve"> </w:t>
      </w:r>
      <w:r w:rsidRPr="00672612">
        <w:rPr>
          <w:rFonts w:ascii="Century Gothic" w:hAnsi="Century Gothic"/>
          <w:color w:val="000000"/>
          <w:lang w:val="en-US"/>
        </w:rPr>
        <w:t xml:space="preserve">Australian Bureau of Statistics, ‘2016 Census </w:t>
      </w:r>
      <w:r w:rsidRPr="00672612">
        <w:rPr>
          <w:rFonts w:ascii="Century Gothic" w:hAnsi="Century Gothic"/>
          <w:color w:val="000000"/>
          <w:lang w:val="en-US"/>
        </w:rPr>
        <w:t xml:space="preserve">QuickStats: Mansfield (S)’, loc. cit. See also: </w:t>
      </w:r>
      <w:r w:rsidRPr="00672612">
        <w:rPr>
          <w:rFonts w:ascii="Century Gothic" w:hAnsi="Century Gothic"/>
          <w:color w:val="000000"/>
        </w:rPr>
        <w:t>‘</w:t>
      </w:r>
      <w:r w:rsidRPr="00672612">
        <w:rPr>
          <w:rFonts w:ascii="Century Gothic" w:hAnsi="Century Gothic"/>
          <w:color w:val="000000"/>
          <w:lang w:val="en-US"/>
        </w:rPr>
        <w:t>2016 Census QuickStats</w:t>
      </w:r>
      <w:r w:rsidRPr="00672612">
        <w:rPr>
          <w:rFonts w:ascii="Century Gothic" w:hAnsi="Century Gothic"/>
          <w:color w:val="000000"/>
        </w:rPr>
        <w:t>: Rest of Vic’</w:t>
      </w:r>
      <w:r w:rsidRPr="00672612">
        <w:rPr>
          <w:rFonts w:ascii="Century Gothic" w:hAnsi="Century Gothic"/>
          <w:color w:val="000000"/>
          <w:lang w:val="en-US"/>
        </w:rPr>
        <w:t>.</w:t>
      </w:r>
    </w:p>
  </w:footnote>
  <w:footnote w:id="16">
    <w:p w14:paraId="3F4B6114" w14:textId="77777777" w:rsidR="00371426" w:rsidRPr="00672612" w:rsidRDefault="00371426" w:rsidP="00AB619D">
      <w:pPr>
        <w:pStyle w:val="FootnoteText"/>
        <w:rPr>
          <w:rFonts w:ascii="Century Gothic" w:hAnsi="Century Gothic"/>
          <w:color w:val="000000"/>
          <w:highlight w:val="yellow"/>
          <w:lang w:val="en-US"/>
        </w:rPr>
      </w:pPr>
      <w:r w:rsidRPr="00672612">
        <w:rPr>
          <w:rStyle w:val="FootnoteReference"/>
          <w:rFonts w:ascii="Century Gothic" w:hAnsi="Century Gothic"/>
          <w:color w:val="000000"/>
        </w:rPr>
        <w:footnoteRef/>
      </w:r>
      <w:r w:rsidRPr="00672612">
        <w:rPr>
          <w:rFonts w:ascii="Century Gothic" w:hAnsi="Century Gothic"/>
          <w:color w:val="000000"/>
        </w:rPr>
        <w:t xml:space="preserve"> </w:t>
      </w:r>
      <w:r w:rsidRPr="00672612">
        <w:rPr>
          <w:rFonts w:ascii="Century Gothic" w:hAnsi="Century Gothic"/>
          <w:color w:val="000000"/>
          <w:lang w:val="en-US"/>
        </w:rPr>
        <w:t>Ibid.</w:t>
      </w:r>
    </w:p>
  </w:footnote>
  <w:footnote w:id="17">
    <w:p w14:paraId="49D82398" w14:textId="25C4643E"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color w:val="000000"/>
          <w:lang w:val="en-US"/>
        </w:rPr>
        <w:t>Australian Bureau of Statistics,</w:t>
      </w:r>
      <w:r w:rsidRPr="00672612">
        <w:rPr>
          <w:rFonts w:ascii="Century Gothic" w:hAnsi="Century Gothic"/>
        </w:rPr>
        <w:t xml:space="preserve"> ‘Census of Population and Housing: Socio-Economic Indexes for Areas (SEIFA), Australia, 2016’</w:t>
      </w:r>
      <w:r w:rsidRPr="00672612">
        <w:rPr>
          <w:rFonts w:ascii="Century Gothic" w:hAnsi="Century Gothic"/>
          <w:color w:val="000000"/>
          <w:lang w:val="en-US"/>
        </w:rPr>
        <w:t xml:space="preserve">, </w:t>
      </w:r>
      <w:hyperlink r:id="rId10" w:history="1">
        <w:r w:rsidRPr="00672612">
          <w:rPr>
            <w:rStyle w:val="Hyperlink"/>
            <w:rFonts w:ascii="Century Gothic" w:hAnsi="Century Gothic"/>
            <w:lang w:val="en-US"/>
          </w:rPr>
          <w:t>http://www.abs.gov.au/AUSSTATS/abs@.nsf/DetailsPage/2033.0.55.0012016?OpenDocument</w:t>
        </w:r>
      </w:hyperlink>
      <w:r w:rsidRPr="00672612">
        <w:rPr>
          <w:rFonts w:ascii="Century Gothic" w:hAnsi="Century Gothic"/>
          <w:color w:val="000000"/>
          <w:lang w:val="en-US"/>
        </w:rPr>
        <w:t xml:space="preserve">, accessed </w:t>
      </w:r>
      <w:r>
        <w:rPr>
          <w:rFonts w:ascii="Century Gothic" w:hAnsi="Century Gothic"/>
          <w:lang w:val="en-US"/>
        </w:rPr>
        <w:t>13 March 2020.</w:t>
      </w:r>
    </w:p>
  </w:footnote>
  <w:footnote w:id="18">
    <w:p w14:paraId="03DA4FAB" w14:textId="77777777" w:rsidR="00371426" w:rsidRPr="00672612" w:rsidRDefault="00371426" w:rsidP="00AB619D">
      <w:pPr>
        <w:pStyle w:val="FootnoteText"/>
        <w:rPr>
          <w:rFonts w:ascii="Century Gothic" w:hAnsi="Century Gothic"/>
          <w:lang w:val="en-US"/>
        </w:rPr>
      </w:pPr>
      <w:r w:rsidRPr="00672612">
        <w:rPr>
          <w:rStyle w:val="FootnoteReference"/>
          <w:rFonts w:ascii="Century Gothic" w:hAnsi="Century Gothic"/>
        </w:rPr>
        <w:footnoteRef/>
      </w:r>
      <w:r w:rsidRPr="00672612">
        <w:rPr>
          <w:rFonts w:ascii="Century Gothic" w:hAnsi="Century Gothic"/>
        </w:rPr>
        <w:t xml:space="preserve"> </w:t>
      </w:r>
      <w:r w:rsidRPr="00672612">
        <w:rPr>
          <w:rFonts w:ascii="Century Gothic" w:hAnsi="Century Gothic"/>
          <w:color w:val="000000"/>
          <w:lang w:val="en-US"/>
        </w:rPr>
        <w:t>Australian Bureau of Statistics, ‘Region Data Summary: Mansfield (S) (LGA)’, loc. cit. See also ‘Region Data Summary: Rest of Vic. (GCCSA)’.</w:t>
      </w:r>
    </w:p>
  </w:footnote>
  <w:footnote w:id="19">
    <w:p w14:paraId="692F179A" w14:textId="0EF6B72D" w:rsidR="00371426" w:rsidRPr="00672612" w:rsidRDefault="00371426" w:rsidP="00AB619D">
      <w:pPr>
        <w:pStyle w:val="FootnoteText"/>
        <w:rPr>
          <w:rFonts w:ascii="Century Gothic" w:hAnsi="Century Gothic"/>
          <w:highlight w:val="yellow"/>
          <w:lang w:val="en-US"/>
        </w:rPr>
      </w:pPr>
      <w:r w:rsidRPr="00672612">
        <w:rPr>
          <w:rStyle w:val="FootnoteReference"/>
          <w:rFonts w:ascii="Century Gothic" w:hAnsi="Century Gothic"/>
        </w:rPr>
        <w:footnoteRef/>
      </w:r>
      <w:r w:rsidRPr="00672612">
        <w:rPr>
          <w:rFonts w:ascii="Century Gothic" w:hAnsi="Century Gothic"/>
        </w:rPr>
        <w:t xml:space="preserve"> Department of Environment, Land, Water and Planning</w:t>
      </w:r>
      <w:r w:rsidRPr="00672612">
        <w:rPr>
          <w:rFonts w:ascii="Century Gothic" w:hAnsi="Century Gothic"/>
          <w:color w:val="000000"/>
        </w:rPr>
        <w:t xml:space="preserve">, ‘Victoria in Future 2019’, </w:t>
      </w:r>
      <w:hyperlink r:id="rId11" w:history="1">
        <w:r w:rsidRPr="00672612">
          <w:rPr>
            <w:rStyle w:val="Hyperlink"/>
            <w:rFonts w:ascii="Century Gothic" w:hAnsi="Century Gothic"/>
          </w:rPr>
          <w:t>https://www.planning.vic.gov.au/land-use-and-population-research/victoria-in-future</w:t>
        </w:r>
      </w:hyperlink>
      <w:r w:rsidRPr="00672612">
        <w:rPr>
          <w:rFonts w:ascii="Century Gothic" w:hAnsi="Century Gothic"/>
          <w:color w:val="000000"/>
        </w:rPr>
        <w:t xml:space="preserve">, accessed </w:t>
      </w:r>
      <w:r>
        <w:rPr>
          <w:rFonts w:ascii="Century Gothic" w:hAnsi="Century Gothic"/>
          <w:lang w:val="en-US"/>
        </w:rPr>
        <w:t>13 March 2020.</w:t>
      </w:r>
    </w:p>
  </w:footnote>
  <w:footnote w:id="20">
    <w:p w14:paraId="4EA96FE5" w14:textId="77777777" w:rsidR="00371426" w:rsidRPr="00672612" w:rsidRDefault="00371426" w:rsidP="00AB619D">
      <w:pPr>
        <w:pStyle w:val="FootnoteText"/>
        <w:rPr>
          <w:rFonts w:ascii="Century Gothic" w:hAnsi="Century Gothic"/>
          <w:color w:val="000000"/>
          <w:lang w:val="en-US"/>
        </w:rPr>
      </w:pPr>
      <w:r w:rsidRPr="00672612">
        <w:rPr>
          <w:rStyle w:val="FootnoteReference"/>
          <w:rFonts w:ascii="Century Gothic" w:hAnsi="Century Gothic"/>
          <w:color w:val="000000"/>
        </w:rPr>
        <w:footnoteRef/>
      </w:r>
      <w:r w:rsidRPr="00672612">
        <w:rPr>
          <w:rFonts w:ascii="Century Gothic" w:hAnsi="Century Gothic"/>
          <w:color w:val="000000"/>
        </w:rPr>
        <w:t xml:space="preserve"> </w:t>
      </w:r>
      <w:r w:rsidRPr="00672612">
        <w:rPr>
          <w:rFonts w:ascii="Century Gothic" w:hAnsi="Century Gothic"/>
          <w:color w:val="000000"/>
          <w:lang w:val="en-US"/>
        </w:rPr>
        <w:t xml:space="preserve">Australian Bureau of Statistics, ‘2016 Census </w:t>
      </w:r>
      <w:r w:rsidRPr="00672612">
        <w:rPr>
          <w:rFonts w:ascii="Century Gothic" w:hAnsi="Century Gothic"/>
          <w:color w:val="000000"/>
          <w:lang w:val="en-US"/>
        </w:rPr>
        <w:t xml:space="preserve">QuickStats: Mansfield (S)’, loc. cit. See also: </w:t>
      </w:r>
      <w:r w:rsidRPr="00672612">
        <w:rPr>
          <w:rFonts w:ascii="Century Gothic" w:hAnsi="Century Gothic"/>
          <w:color w:val="000000"/>
        </w:rPr>
        <w:t>‘</w:t>
      </w:r>
      <w:r w:rsidRPr="00672612">
        <w:rPr>
          <w:rFonts w:ascii="Century Gothic" w:hAnsi="Century Gothic"/>
          <w:color w:val="000000"/>
          <w:lang w:val="en-US"/>
        </w:rPr>
        <w:t>2016 Census QuickStats</w:t>
      </w:r>
      <w:r w:rsidRPr="00672612">
        <w:rPr>
          <w:rFonts w:ascii="Century Gothic" w:hAnsi="Century Gothic"/>
          <w:color w:val="000000"/>
        </w:rPr>
        <w:t>: Rest of Vic’</w:t>
      </w:r>
      <w:r w:rsidRPr="00672612">
        <w:rPr>
          <w:rFonts w:ascii="Century Gothic" w:hAnsi="Century Gothic"/>
          <w:color w:val="000000"/>
          <w:lang w:val="en-US"/>
        </w:rPr>
        <w:t>.</w:t>
      </w:r>
    </w:p>
  </w:footnote>
  <w:footnote w:id="21">
    <w:p w14:paraId="5536952F" w14:textId="4F7C1CA9" w:rsidR="00371426" w:rsidRPr="00672612" w:rsidRDefault="00371426" w:rsidP="00AB619D">
      <w:pPr>
        <w:pStyle w:val="FootnoteText"/>
        <w:rPr>
          <w:rFonts w:ascii="Century Gothic" w:hAnsi="Century Gothic"/>
          <w:color w:val="808080"/>
          <w:lang w:val="en-US"/>
        </w:rPr>
      </w:pPr>
      <w:r w:rsidRPr="00672612">
        <w:rPr>
          <w:rStyle w:val="FootnoteReference"/>
          <w:rFonts w:ascii="Century Gothic" w:hAnsi="Century Gothic"/>
          <w:color w:val="000000"/>
        </w:rPr>
        <w:footnoteRef/>
      </w:r>
      <w:r w:rsidRPr="00672612">
        <w:rPr>
          <w:rFonts w:ascii="Century Gothic" w:hAnsi="Century Gothic"/>
          <w:color w:val="000000"/>
        </w:rPr>
        <w:t xml:space="preserve"> Aboriginal Victoria, ‘Acknowledgement of Traditional Owners’, </w:t>
      </w:r>
      <w:hyperlink r:id="rId12" w:history="1">
        <w:r w:rsidRPr="00672612">
          <w:rPr>
            <w:rStyle w:val="Hyperlink"/>
            <w:rFonts w:ascii="Century Gothic" w:hAnsi="Century Gothic"/>
          </w:rPr>
          <w:t>https://www.aboriginalvictoria.vic.gov.au/acknowledgement-traditional-owners</w:t>
        </w:r>
      </w:hyperlink>
      <w:r w:rsidRPr="00672612">
        <w:rPr>
          <w:rFonts w:ascii="Century Gothic" w:hAnsi="Century Gothic"/>
          <w:color w:val="000000"/>
        </w:rPr>
        <w:t xml:space="preserve">, accessed </w:t>
      </w:r>
      <w:r>
        <w:rPr>
          <w:rFonts w:ascii="Century Gothic" w:hAnsi="Century Gothic"/>
          <w:lang w:val="en-US"/>
        </w:rPr>
        <w:t>13 March 2020.</w:t>
      </w:r>
    </w:p>
  </w:footnote>
  <w:footnote w:id="22">
    <w:p w14:paraId="2A06029E" w14:textId="77777777" w:rsidR="00371426" w:rsidRPr="00672612" w:rsidRDefault="00371426" w:rsidP="00AB619D">
      <w:pPr>
        <w:pStyle w:val="FootnoteText"/>
        <w:rPr>
          <w:rFonts w:ascii="Century Gothic" w:hAnsi="Century Gothic"/>
          <w:color w:val="000000"/>
          <w:lang w:val="en-US"/>
        </w:rPr>
      </w:pPr>
      <w:r w:rsidRPr="00672612">
        <w:rPr>
          <w:rStyle w:val="FootnoteReference"/>
          <w:rFonts w:ascii="Century Gothic" w:hAnsi="Century Gothic"/>
          <w:color w:val="000000"/>
        </w:rPr>
        <w:footnoteRef/>
      </w:r>
      <w:r w:rsidRPr="00672612">
        <w:rPr>
          <w:rFonts w:ascii="Century Gothic" w:hAnsi="Century Gothic"/>
          <w:color w:val="000000"/>
        </w:rPr>
        <w:t xml:space="preserve"> </w:t>
      </w:r>
      <w:r w:rsidRPr="00672612">
        <w:rPr>
          <w:rFonts w:ascii="Century Gothic" w:hAnsi="Century Gothic"/>
        </w:rPr>
        <w:t>Department of Environment, Land, Water and Planning, loc. cit</w:t>
      </w:r>
      <w:r w:rsidRPr="00672612">
        <w:rPr>
          <w:rFonts w:ascii="Century Gothic" w:hAnsi="Century Gothic"/>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AD4CEB" w14:textId="77777777" w:rsidR="00371426" w:rsidRPr="00801FF3" w:rsidRDefault="00371426">
    <w:pPr>
      <w:pStyle w:val="Header"/>
      <w:pBdr>
        <w:bottom w:val="single" w:sz="4" w:space="1" w:color="auto"/>
      </w:pBdr>
    </w:pPr>
    <w:r w:rsidRPr="00801FF3">
      <w:t>Local Council Representation Review - Final Report</w:t>
    </w:r>
    <w:r w:rsidRPr="00801FF3">
      <w:br/>
    </w:r>
    <w:r w:rsidRPr="00170C47">
      <w:rPr>
        <w:noProof/>
      </w:rPr>
      <w:t>Mansfield Shire Council</w:t>
    </w:r>
    <w:r w:rsidRPr="00801FF3">
      <w:t xml:space="preserve"> </w:t>
    </w:r>
    <w:r w:rsidRPr="009C2E2D">
      <w:rPr>
        <w:noProof/>
        <w:color w:val="000000" w:themeColor="text1"/>
      </w:rPr>
      <w:t>2019–20</w: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9D208C" w14:textId="77777777" w:rsidR="00371426" w:rsidRPr="005D6CFA" w:rsidRDefault="00371426" w:rsidP="005D6CF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CA197F" w14:textId="77777777" w:rsidR="00371426" w:rsidRPr="00801FF3" w:rsidRDefault="00371426" w:rsidP="00280BE4">
    <w:pPr>
      <w:pStyle w:val="Header"/>
      <w:pBdr>
        <w:bottom w:val="single" w:sz="4" w:space="1" w:color="auto"/>
      </w:pBdr>
    </w:pPr>
    <w:r w:rsidRPr="00801FF3">
      <w:t>Local Council Representation Review - Final Report</w:t>
    </w:r>
    <w:r w:rsidRPr="00801FF3">
      <w:br/>
    </w:r>
    <w:r w:rsidRPr="00170C47">
      <w:rPr>
        <w:noProof/>
      </w:rPr>
      <w:t>Mansfield Shire Council</w:t>
    </w:r>
    <w:r w:rsidRPr="00801FF3">
      <w:t xml:space="preserve"> </w:t>
    </w:r>
    <w:r w:rsidRPr="009C2E2D">
      <w:rPr>
        <w:noProof/>
        <w:color w:val="000000" w:themeColor="text1"/>
      </w:rPr>
      <w:t>2019–20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EC86FA" w14:textId="77777777" w:rsidR="00371426" w:rsidRPr="00470B7A" w:rsidRDefault="00371426" w:rsidP="00470B7A">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95C6E1" w14:textId="77777777" w:rsidR="00371426" w:rsidRPr="0044553D" w:rsidRDefault="00371426" w:rsidP="0044553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F805FB" w14:textId="77777777" w:rsidR="00371426" w:rsidRPr="005D6CFA" w:rsidRDefault="00371426" w:rsidP="005D6CF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057DE52" w14:textId="28FE2040" w:rsidR="00371426" w:rsidRPr="0044553D" w:rsidRDefault="00371426" w:rsidP="0044553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62396F" w14:textId="6F89BFA2" w:rsidR="00371426" w:rsidRDefault="0044553D" w:rsidP="005D6CFA">
    <w:pPr>
      <w:pStyle w:val="Header"/>
    </w:pPr>
    <w:r>
      <w:rPr>
        <w:noProof/>
      </w:rPr>
      <w:drawing>
        <wp:anchor distT="0" distB="0" distL="114300" distR="114300" simplePos="0" relativeHeight="251663360" behindDoc="0" locked="0" layoutInCell="1" allowOverlap="1" wp14:anchorId="1744926B" wp14:editId="3CB1D1BD">
          <wp:simplePos x="0" y="0"/>
          <wp:positionH relativeFrom="column">
            <wp:posOffset>4115435</wp:posOffset>
          </wp:positionH>
          <wp:positionV relativeFrom="paragraph">
            <wp:posOffset>121285</wp:posOffset>
          </wp:positionV>
          <wp:extent cx="1841500" cy="638175"/>
          <wp:effectExtent l="0" t="0" r="0" b="0"/>
          <wp:wrapTopAndBottom/>
          <wp:docPr id="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50421C42" w14:textId="77777777" w:rsidR="00371426" w:rsidRPr="005D6CFA" w:rsidRDefault="00371426" w:rsidP="005D6CFA">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B1C15C" w14:textId="77777777" w:rsidR="00371426" w:rsidRPr="00470B7A" w:rsidRDefault="00371426" w:rsidP="00470B7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1BA00A" w14:textId="77777777" w:rsidR="00371426" w:rsidRPr="00B92B36" w:rsidRDefault="00371426" w:rsidP="00EF4ACB">
    <w:pPr>
      <w:pStyle w:val="Header"/>
    </w:pPr>
    <w:r>
      <w:rPr>
        <w:noProof/>
      </w:rPr>
      <w:drawing>
        <wp:anchor distT="0" distB="0" distL="114300" distR="114300" simplePos="0" relativeHeight="251659264" behindDoc="0" locked="0" layoutInCell="1" allowOverlap="1" wp14:anchorId="07931BAE" wp14:editId="31999264">
          <wp:simplePos x="0" y="0"/>
          <wp:positionH relativeFrom="column">
            <wp:posOffset>4115435</wp:posOffset>
          </wp:positionH>
          <wp:positionV relativeFrom="paragraph">
            <wp:posOffset>121285</wp:posOffset>
          </wp:positionV>
          <wp:extent cx="1841500" cy="638175"/>
          <wp:effectExtent l="0" t="0" r="0" b="0"/>
          <wp:wrapTopAndBottom/>
          <wp:docPr id="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41500" cy="638175"/>
                  </a:xfrm>
                  <a:prstGeom prst="rect">
                    <a:avLst/>
                  </a:prstGeom>
                  <a:noFill/>
                </pic:spPr>
              </pic:pic>
            </a:graphicData>
          </a:graphic>
          <wp14:sizeRelH relativeFrom="page">
            <wp14:pctWidth>0</wp14:pctWidth>
          </wp14:sizeRelH>
          <wp14:sizeRelV relativeFrom="page">
            <wp14:pctHeight>0</wp14:pctHeight>
          </wp14:sizeRelV>
        </wp:anchor>
      </w:drawing>
    </w:r>
  </w:p>
  <w:p w14:paraId="73D765FD" w14:textId="77777777" w:rsidR="00371426" w:rsidRPr="00EF4ACB" w:rsidRDefault="00371426" w:rsidP="00EF4AC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1">
    <w:nsid w:val="00A74587"/>
    <w:multiLevelType w:val="hybridMultilevel"/>
    <w:tmpl w:val="187489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1">
    <w:nsid w:val="13C35CDA"/>
    <w:multiLevelType w:val="multilevel"/>
    <w:tmpl w:val="B83E946A"/>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pStyle w:val="Heading3numbered"/>
      <w:suff w:val="space"/>
      <w:lvlText w:val="%1.%2.%3"/>
      <w:lvlJc w:val="left"/>
      <w:pPr>
        <w:ind w:left="0" w:firstLine="0"/>
      </w:pPr>
      <w:rPr>
        <w:rFonts w:hint="default"/>
      </w:rPr>
    </w:lvl>
    <w:lvl w:ilvl="3">
      <w:start w:val="1"/>
      <w:numFmt w:val="decimal"/>
      <w:pStyle w:val="Heading4numbered"/>
      <w:suff w:val="space"/>
      <w:lvlText w:val="%1.%2.%3.%4"/>
      <w:lvlJc w:val="left"/>
      <w:pPr>
        <w:ind w:left="0" w:firstLine="0"/>
      </w:pPr>
      <w:rPr>
        <w:rFonts w:hint="default"/>
      </w:rPr>
    </w:lvl>
    <w:lvl w:ilvl="4">
      <w:start w:val="1"/>
      <w:numFmt w:val="decimal"/>
      <w:pStyle w:val="Heading5"/>
      <w:lvlText w:val="%1.%2.%3.%4.%5"/>
      <w:lvlJc w:val="left"/>
      <w:pPr>
        <w:ind w:left="0" w:firstLine="0"/>
      </w:pPr>
      <w:rPr>
        <w:rFonts w:hint="default"/>
      </w:rPr>
    </w:lvl>
    <w:lvl w:ilvl="5">
      <w:start w:val="1"/>
      <w:numFmt w:val="decimal"/>
      <w:pStyle w:val="Heading6"/>
      <w:lvlText w:val="%1.%2.%3.%4.%5.%6"/>
      <w:lvlJc w:val="left"/>
      <w:pPr>
        <w:ind w:left="0" w:firstLine="0"/>
      </w:pPr>
      <w:rPr>
        <w:rFonts w:hint="default"/>
      </w:rPr>
    </w:lvl>
    <w:lvl w:ilvl="6">
      <w:start w:val="1"/>
      <w:numFmt w:val="decimal"/>
      <w:pStyle w:val="Heading7"/>
      <w:lvlText w:val="%1.%2.%3.%4.%5.%6.%7"/>
      <w:lvlJc w:val="left"/>
      <w:pPr>
        <w:ind w:left="0" w:firstLine="0"/>
      </w:pPr>
      <w:rPr>
        <w:rFonts w:hint="default"/>
      </w:rPr>
    </w:lvl>
    <w:lvl w:ilvl="7">
      <w:start w:val="1"/>
      <w:numFmt w:val="decimal"/>
      <w:pStyle w:val="Heading8"/>
      <w:lvlText w:val="%1.%2.%3.%4.%5.%6.%7.%8"/>
      <w:lvlJc w:val="left"/>
      <w:pPr>
        <w:ind w:left="0" w:firstLine="0"/>
      </w:pPr>
      <w:rPr>
        <w:rFonts w:hint="default"/>
      </w:rPr>
    </w:lvl>
    <w:lvl w:ilvl="8">
      <w:start w:val="1"/>
      <w:numFmt w:val="decimal"/>
      <w:pStyle w:val="Heading9"/>
      <w:lvlText w:val="%1.%2.%3.%4.%5.%6.%7.%8.%9"/>
      <w:lvlJc w:val="left"/>
      <w:pPr>
        <w:ind w:left="0" w:firstLine="0"/>
      </w:pPr>
      <w:rPr>
        <w:rFonts w:hint="default"/>
      </w:rPr>
    </w:lvl>
  </w:abstractNum>
  <w:abstractNum w:abstractNumId="2" w15:restartNumberingAfterBreak="1">
    <w:nsid w:val="185351C0"/>
    <w:multiLevelType w:val="hybridMultilevel"/>
    <w:tmpl w:val="38E89296"/>
    <w:lvl w:ilvl="0" w:tplc="0C09000F">
      <w:start w:val="1"/>
      <w:numFmt w:val="decimal"/>
      <w:lvlText w:val="%1."/>
      <w:lvlJc w:val="left"/>
      <w:pPr>
        <w:ind w:left="720" w:hanging="360"/>
      </w:pPr>
      <w:rPr>
        <w:rFonts w:hint="default"/>
      </w:rPr>
    </w:lvl>
    <w:lvl w:ilvl="1" w:tplc="0C09000F">
      <w:start w:val="1"/>
      <w:numFmt w:val="decimal"/>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1">
    <w:nsid w:val="1A76692A"/>
    <w:multiLevelType w:val="hybridMultilevel"/>
    <w:tmpl w:val="94027D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1">
    <w:nsid w:val="1F0829EE"/>
    <w:multiLevelType w:val="hybridMultilevel"/>
    <w:tmpl w:val="EDAEF3D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1">
    <w:nsid w:val="29BD014A"/>
    <w:multiLevelType w:val="hybridMultilevel"/>
    <w:tmpl w:val="543C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1">
    <w:nsid w:val="327901DF"/>
    <w:multiLevelType w:val="hybridMultilevel"/>
    <w:tmpl w:val="E1E6B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1">
    <w:nsid w:val="32981F75"/>
    <w:multiLevelType w:val="hybridMultilevel"/>
    <w:tmpl w:val="EDFECE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1">
    <w:nsid w:val="33E1708B"/>
    <w:multiLevelType w:val="hybridMultilevel"/>
    <w:tmpl w:val="8EAA9E1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 w15:restartNumberingAfterBreak="1">
    <w:nsid w:val="381379F5"/>
    <w:multiLevelType w:val="hybridMultilevel"/>
    <w:tmpl w:val="02525A2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1">
    <w:nsid w:val="3FAA1A41"/>
    <w:multiLevelType w:val="hybridMultilevel"/>
    <w:tmpl w:val="D62CD5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1">
    <w:nsid w:val="56DB64BF"/>
    <w:multiLevelType w:val="hybridMultilevel"/>
    <w:tmpl w:val="D8CEF3E2"/>
    <w:lvl w:ilvl="0" w:tplc="0C090001">
      <w:start w:val="1"/>
      <w:numFmt w:val="bullet"/>
      <w:lvlText w:val=""/>
      <w:lvlJc w:val="left"/>
      <w:pPr>
        <w:ind w:left="720" w:hanging="360"/>
      </w:pPr>
      <w:rPr>
        <w:rFonts w:ascii="Symbol" w:hAnsi="Symbol" w:hint="default"/>
      </w:rPr>
    </w:lvl>
    <w:lvl w:ilvl="1" w:tplc="8440FBB0">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1">
    <w:nsid w:val="662023DB"/>
    <w:multiLevelType w:val="hybridMultilevel"/>
    <w:tmpl w:val="753E3B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1">
    <w:nsid w:val="689E43E4"/>
    <w:multiLevelType w:val="hybridMultilevel"/>
    <w:tmpl w:val="A036DB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1">
    <w:nsid w:val="73A14A9E"/>
    <w:multiLevelType w:val="hybridMultilevel"/>
    <w:tmpl w:val="903CC180"/>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15" w15:restartNumberingAfterBreak="1">
    <w:nsid w:val="7E641B45"/>
    <w:multiLevelType w:val="hybridMultilevel"/>
    <w:tmpl w:val="D0C6D5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1">
    <w:nsid w:val="7E8A376B"/>
    <w:multiLevelType w:val="hybridMultilevel"/>
    <w:tmpl w:val="650C08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7"/>
  </w:num>
  <w:num w:numId="3">
    <w:abstractNumId w:val="11"/>
  </w:num>
  <w:num w:numId="4">
    <w:abstractNumId w:val="2"/>
  </w:num>
  <w:num w:numId="5">
    <w:abstractNumId w:val="16"/>
  </w:num>
  <w:num w:numId="6">
    <w:abstractNumId w:val="6"/>
  </w:num>
  <w:num w:numId="7">
    <w:abstractNumId w:val="9"/>
  </w:num>
  <w:num w:numId="8">
    <w:abstractNumId w:val="10"/>
  </w:num>
  <w:num w:numId="9">
    <w:abstractNumId w:val="3"/>
  </w:num>
  <w:num w:numId="10">
    <w:abstractNumId w:val="15"/>
  </w:num>
  <w:num w:numId="11">
    <w:abstractNumId w:val="4"/>
  </w:num>
  <w:num w:numId="12">
    <w:abstractNumId w:val="0"/>
  </w:num>
  <w:num w:numId="13">
    <w:abstractNumId w:val="5"/>
  </w:num>
  <w:num w:numId="14">
    <w:abstractNumId w:val="13"/>
  </w:num>
  <w:num w:numId="15">
    <w:abstractNumId w:val="14"/>
  </w:num>
  <w:num w:numId="16">
    <w:abstractNumId w:val="12"/>
  </w:num>
  <w:num w:numId="17">
    <w:abstractNumId w:val="8"/>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mirrorMargin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efaultTableStyle w:val="Basictable"/>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75B0"/>
    <w:rsid w:val="00000558"/>
    <w:rsid w:val="00000737"/>
    <w:rsid w:val="00002551"/>
    <w:rsid w:val="00004A11"/>
    <w:rsid w:val="000110E4"/>
    <w:rsid w:val="000127CF"/>
    <w:rsid w:val="00015ED1"/>
    <w:rsid w:val="00016DEC"/>
    <w:rsid w:val="000204EF"/>
    <w:rsid w:val="000216AD"/>
    <w:rsid w:val="000243B1"/>
    <w:rsid w:val="0002753A"/>
    <w:rsid w:val="00031BC5"/>
    <w:rsid w:val="00041C34"/>
    <w:rsid w:val="000458E5"/>
    <w:rsid w:val="00053BC9"/>
    <w:rsid w:val="000556FD"/>
    <w:rsid w:val="000576D7"/>
    <w:rsid w:val="00057912"/>
    <w:rsid w:val="00057BB2"/>
    <w:rsid w:val="0006125C"/>
    <w:rsid w:val="000637D4"/>
    <w:rsid w:val="00067BB7"/>
    <w:rsid w:val="0007010F"/>
    <w:rsid w:val="000720D3"/>
    <w:rsid w:val="00073839"/>
    <w:rsid w:val="00073C49"/>
    <w:rsid w:val="00075370"/>
    <w:rsid w:val="0007555C"/>
    <w:rsid w:val="00075877"/>
    <w:rsid w:val="000760F5"/>
    <w:rsid w:val="000763F8"/>
    <w:rsid w:val="00076F40"/>
    <w:rsid w:val="00077E48"/>
    <w:rsid w:val="00080313"/>
    <w:rsid w:val="00084610"/>
    <w:rsid w:val="0008518F"/>
    <w:rsid w:val="00085C7A"/>
    <w:rsid w:val="00086730"/>
    <w:rsid w:val="0009133B"/>
    <w:rsid w:val="00094B00"/>
    <w:rsid w:val="00095DBC"/>
    <w:rsid w:val="000A3612"/>
    <w:rsid w:val="000A4F55"/>
    <w:rsid w:val="000A6DB8"/>
    <w:rsid w:val="000A7532"/>
    <w:rsid w:val="000B01D1"/>
    <w:rsid w:val="000B0EB4"/>
    <w:rsid w:val="000B3121"/>
    <w:rsid w:val="000B59A2"/>
    <w:rsid w:val="000B629D"/>
    <w:rsid w:val="000C1674"/>
    <w:rsid w:val="000C25D4"/>
    <w:rsid w:val="000C26E7"/>
    <w:rsid w:val="000C3CEC"/>
    <w:rsid w:val="000C57C1"/>
    <w:rsid w:val="000C65A2"/>
    <w:rsid w:val="000C710C"/>
    <w:rsid w:val="000C74B3"/>
    <w:rsid w:val="000D0C47"/>
    <w:rsid w:val="000D3555"/>
    <w:rsid w:val="000D3E4D"/>
    <w:rsid w:val="000D44E7"/>
    <w:rsid w:val="000D46B9"/>
    <w:rsid w:val="000D7674"/>
    <w:rsid w:val="000E2A70"/>
    <w:rsid w:val="000E3032"/>
    <w:rsid w:val="000E4966"/>
    <w:rsid w:val="000E59D1"/>
    <w:rsid w:val="000E69AD"/>
    <w:rsid w:val="000F23BE"/>
    <w:rsid w:val="000F407C"/>
    <w:rsid w:val="000F437E"/>
    <w:rsid w:val="000F51F1"/>
    <w:rsid w:val="000F5325"/>
    <w:rsid w:val="000F6786"/>
    <w:rsid w:val="000F7E13"/>
    <w:rsid w:val="001005DC"/>
    <w:rsid w:val="00100C30"/>
    <w:rsid w:val="0010143E"/>
    <w:rsid w:val="00101968"/>
    <w:rsid w:val="00102C80"/>
    <w:rsid w:val="00104CCD"/>
    <w:rsid w:val="00104E09"/>
    <w:rsid w:val="00105B12"/>
    <w:rsid w:val="00106CCA"/>
    <w:rsid w:val="00116304"/>
    <w:rsid w:val="00117E9E"/>
    <w:rsid w:val="001206E6"/>
    <w:rsid w:val="00123F9B"/>
    <w:rsid w:val="00127C7D"/>
    <w:rsid w:val="00136F21"/>
    <w:rsid w:val="001375B0"/>
    <w:rsid w:val="0013793E"/>
    <w:rsid w:val="00152F00"/>
    <w:rsid w:val="00154466"/>
    <w:rsid w:val="00154C49"/>
    <w:rsid w:val="00155323"/>
    <w:rsid w:val="001556C9"/>
    <w:rsid w:val="00164847"/>
    <w:rsid w:val="00170255"/>
    <w:rsid w:val="001708A0"/>
    <w:rsid w:val="001734E5"/>
    <w:rsid w:val="00176C44"/>
    <w:rsid w:val="00177E51"/>
    <w:rsid w:val="0018081E"/>
    <w:rsid w:val="00182DB4"/>
    <w:rsid w:val="00186733"/>
    <w:rsid w:val="00186CAB"/>
    <w:rsid w:val="00193409"/>
    <w:rsid w:val="001939C1"/>
    <w:rsid w:val="001944C1"/>
    <w:rsid w:val="00197AEA"/>
    <w:rsid w:val="001A015E"/>
    <w:rsid w:val="001A0E59"/>
    <w:rsid w:val="001A2AC0"/>
    <w:rsid w:val="001A542B"/>
    <w:rsid w:val="001A68A2"/>
    <w:rsid w:val="001A6919"/>
    <w:rsid w:val="001A72DD"/>
    <w:rsid w:val="001B2957"/>
    <w:rsid w:val="001B315E"/>
    <w:rsid w:val="001B3E59"/>
    <w:rsid w:val="001B7181"/>
    <w:rsid w:val="001C092E"/>
    <w:rsid w:val="001C1F92"/>
    <w:rsid w:val="001C534E"/>
    <w:rsid w:val="001D14C4"/>
    <w:rsid w:val="001D264F"/>
    <w:rsid w:val="001D36A8"/>
    <w:rsid w:val="001D4048"/>
    <w:rsid w:val="001D435E"/>
    <w:rsid w:val="001D5684"/>
    <w:rsid w:val="001D61ED"/>
    <w:rsid w:val="001D7D90"/>
    <w:rsid w:val="001E4088"/>
    <w:rsid w:val="001E5ACF"/>
    <w:rsid w:val="001F13A4"/>
    <w:rsid w:val="001F3483"/>
    <w:rsid w:val="0020123B"/>
    <w:rsid w:val="00205148"/>
    <w:rsid w:val="00206E36"/>
    <w:rsid w:val="00207EED"/>
    <w:rsid w:val="00211F1D"/>
    <w:rsid w:val="00213A8A"/>
    <w:rsid w:val="00216138"/>
    <w:rsid w:val="00223B4D"/>
    <w:rsid w:val="0022426B"/>
    <w:rsid w:val="00224283"/>
    <w:rsid w:val="0022468C"/>
    <w:rsid w:val="00230860"/>
    <w:rsid w:val="00231569"/>
    <w:rsid w:val="0023195F"/>
    <w:rsid w:val="00233344"/>
    <w:rsid w:val="00236B8E"/>
    <w:rsid w:val="00236E93"/>
    <w:rsid w:val="0023767A"/>
    <w:rsid w:val="00243205"/>
    <w:rsid w:val="002432E9"/>
    <w:rsid w:val="0024458F"/>
    <w:rsid w:val="00251256"/>
    <w:rsid w:val="002518F6"/>
    <w:rsid w:val="00254580"/>
    <w:rsid w:val="00254D26"/>
    <w:rsid w:val="00257F95"/>
    <w:rsid w:val="00263B02"/>
    <w:rsid w:val="00267474"/>
    <w:rsid w:val="002738DD"/>
    <w:rsid w:val="00274E58"/>
    <w:rsid w:val="00276CB7"/>
    <w:rsid w:val="00277932"/>
    <w:rsid w:val="00277E5F"/>
    <w:rsid w:val="0028072E"/>
    <w:rsid w:val="00280BE4"/>
    <w:rsid w:val="0028394C"/>
    <w:rsid w:val="00285B11"/>
    <w:rsid w:val="00287AE0"/>
    <w:rsid w:val="0029077B"/>
    <w:rsid w:val="002910F2"/>
    <w:rsid w:val="002941F0"/>
    <w:rsid w:val="00297AB8"/>
    <w:rsid w:val="00297DF8"/>
    <w:rsid w:val="002A004F"/>
    <w:rsid w:val="002A0E54"/>
    <w:rsid w:val="002A10FC"/>
    <w:rsid w:val="002A7777"/>
    <w:rsid w:val="002A7EB0"/>
    <w:rsid w:val="002B2268"/>
    <w:rsid w:val="002B3EA9"/>
    <w:rsid w:val="002B467C"/>
    <w:rsid w:val="002B774F"/>
    <w:rsid w:val="002B79DB"/>
    <w:rsid w:val="002C205D"/>
    <w:rsid w:val="002C623D"/>
    <w:rsid w:val="002C7272"/>
    <w:rsid w:val="002D3766"/>
    <w:rsid w:val="002D3C51"/>
    <w:rsid w:val="002D42C2"/>
    <w:rsid w:val="002E1773"/>
    <w:rsid w:val="002E2535"/>
    <w:rsid w:val="002E55C4"/>
    <w:rsid w:val="002E5BB7"/>
    <w:rsid w:val="002E7F9A"/>
    <w:rsid w:val="002F06D1"/>
    <w:rsid w:val="002F3259"/>
    <w:rsid w:val="002F3898"/>
    <w:rsid w:val="002F453F"/>
    <w:rsid w:val="002F5F47"/>
    <w:rsid w:val="002F6F5E"/>
    <w:rsid w:val="002F763A"/>
    <w:rsid w:val="00301A12"/>
    <w:rsid w:val="00301B9B"/>
    <w:rsid w:val="0030658A"/>
    <w:rsid w:val="00311D85"/>
    <w:rsid w:val="00311FAE"/>
    <w:rsid w:val="00312047"/>
    <w:rsid w:val="00312883"/>
    <w:rsid w:val="00317C7B"/>
    <w:rsid w:val="00320290"/>
    <w:rsid w:val="003262B6"/>
    <w:rsid w:val="00327558"/>
    <w:rsid w:val="00331960"/>
    <w:rsid w:val="00332100"/>
    <w:rsid w:val="00332852"/>
    <w:rsid w:val="0033788A"/>
    <w:rsid w:val="003438CF"/>
    <w:rsid w:val="00343F3F"/>
    <w:rsid w:val="00344FC4"/>
    <w:rsid w:val="0034506D"/>
    <w:rsid w:val="00345841"/>
    <w:rsid w:val="00345BAB"/>
    <w:rsid w:val="00350506"/>
    <w:rsid w:val="00351D4D"/>
    <w:rsid w:val="00355A71"/>
    <w:rsid w:val="00356D9A"/>
    <w:rsid w:val="003570E5"/>
    <w:rsid w:val="00360C13"/>
    <w:rsid w:val="00363322"/>
    <w:rsid w:val="003645D2"/>
    <w:rsid w:val="0036581A"/>
    <w:rsid w:val="00367E1D"/>
    <w:rsid w:val="00371382"/>
    <w:rsid w:val="00371426"/>
    <w:rsid w:val="003725DA"/>
    <w:rsid w:val="00372ADE"/>
    <w:rsid w:val="00372B17"/>
    <w:rsid w:val="0037531F"/>
    <w:rsid w:val="003828FA"/>
    <w:rsid w:val="00383408"/>
    <w:rsid w:val="003858D2"/>
    <w:rsid w:val="003871E4"/>
    <w:rsid w:val="0038724F"/>
    <w:rsid w:val="00394E8B"/>
    <w:rsid w:val="00395130"/>
    <w:rsid w:val="00395B16"/>
    <w:rsid w:val="003969A3"/>
    <w:rsid w:val="003A1D0F"/>
    <w:rsid w:val="003A3ACD"/>
    <w:rsid w:val="003A425F"/>
    <w:rsid w:val="003A5533"/>
    <w:rsid w:val="003A5908"/>
    <w:rsid w:val="003A6E1D"/>
    <w:rsid w:val="003B046A"/>
    <w:rsid w:val="003B4A46"/>
    <w:rsid w:val="003B5251"/>
    <w:rsid w:val="003B763C"/>
    <w:rsid w:val="003C1736"/>
    <w:rsid w:val="003C22AB"/>
    <w:rsid w:val="003C43CD"/>
    <w:rsid w:val="003C440B"/>
    <w:rsid w:val="003C6BB0"/>
    <w:rsid w:val="003C7933"/>
    <w:rsid w:val="003D281E"/>
    <w:rsid w:val="003D65D3"/>
    <w:rsid w:val="003D6E0D"/>
    <w:rsid w:val="003D7D36"/>
    <w:rsid w:val="003E2847"/>
    <w:rsid w:val="003E3ABA"/>
    <w:rsid w:val="003E6521"/>
    <w:rsid w:val="003E6EF5"/>
    <w:rsid w:val="003F3C99"/>
    <w:rsid w:val="003F5B2E"/>
    <w:rsid w:val="003F7134"/>
    <w:rsid w:val="003F7FAF"/>
    <w:rsid w:val="0040130C"/>
    <w:rsid w:val="00402A2E"/>
    <w:rsid w:val="0040477F"/>
    <w:rsid w:val="00405B09"/>
    <w:rsid w:val="004074BA"/>
    <w:rsid w:val="00411A51"/>
    <w:rsid w:val="00411E57"/>
    <w:rsid w:val="00413795"/>
    <w:rsid w:val="00416CB1"/>
    <w:rsid w:val="00416D0E"/>
    <w:rsid w:val="0042119D"/>
    <w:rsid w:val="00421F83"/>
    <w:rsid w:val="00426ABC"/>
    <w:rsid w:val="00427BAB"/>
    <w:rsid w:val="00427D0C"/>
    <w:rsid w:val="00430F5A"/>
    <w:rsid w:val="00431162"/>
    <w:rsid w:val="004312BF"/>
    <w:rsid w:val="00433FD1"/>
    <w:rsid w:val="00435C2B"/>
    <w:rsid w:val="00436706"/>
    <w:rsid w:val="00441D9B"/>
    <w:rsid w:val="004428EC"/>
    <w:rsid w:val="00444C55"/>
    <w:rsid w:val="0044553D"/>
    <w:rsid w:val="004545D8"/>
    <w:rsid w:val="00454AEE"/>
    <w:rsid w:val="00456145"/>
    <w:rsid w:val="00456C5E"/>
    <w:rsid w:val="00457BC0"/>
    <w:rsid w:val="00462440"/>
    <w:rsid w:val="004647BD"/>
    <w:rsid w:val="00465EBB"/>
    <w:rsid w:val="004665D9"/>
    <w:rsid w:val="00470B7A"/>
    <w:rsid w:val="00472278"/>
    <w:rsid w:val="00477235"/>
    <w:rsid w:val="00480F5F"/>
    <w:rsid w:val="00481415"/>
    <w:rsid w:val="004838D2"/>
    <w:rsid w:val="00491EDC"/>
    <w:rsid w:val="004930A6"/>
    <w:rsid w:val="00494D08"/>
    <w:rsid w:val="004A72FE"/>
    <w:rsid w:val="004B06AC"/>
    <w:rsid w:val="004B072D"/>
    <w:rsid w:val="004B382F"/>
    <w:rsid w:val="004C0D21"/>
    <w:rsid w:val="004C1724"/>
    <w:rsid w:val="004C1F76"/>
    <w:rsid w:val="004C43BB"/>
    <w:rsid w:val="004C4ACA"/>
    <w:rsid w:val="004C6E14"/>
    <w:rsid w:val="004D785F"/>
    <w:rsid w:val="004E0114"/>
    <w:rsid w:val="004E02FC"/>
    <w:rsid w:val="004E0ED7"/>
    <w:rsid w:val="004E3773"/>
    <w:rsid w:val="004E3F55"/>
    <w:rsid w:val="004E49C5"/>
    <w:rsid w:val="004E49E1"/>
    <w:rsid w:val="004E4E7D"/>
    <w:rsid w:val="004F0FC2"/>
    <w:rsid w:val="004F3687"/>
    <w:rsid w:val="004F393A"/>
    <w:rsid w:val="004F5026"/>
    <w:rsid w:val="004F58B0"/>
    <w:rsid w:val="005009D7"/>
    <w:rsid w:val="00500A3D"/>
    <w:rsid w:val="00501150"/>
    <w:rsid w:val="00502B3A"/>
    <w:rsid w:val="0050397F"/>
    <w:rsid w:val="00504644"/>
    <w:rsid w:val="00506F44"/>
    <w:rsid w:val="0050750B"/>
    <w:rsid w:val="00510846"/>
    <w:rsid w:val="00511D6A"/>
    <w:rsid w:val="00513885"/>
    <w:rsid w:val="0051649C"/>
    <w:rsid w:val="00520AE9"/>
    <w:rsid w:val="00520E73"/>
    <w:rsid w:val="0052399B"/>
    <w:rsid w:val="0052467D"/>
    <w:rsid w:val="00524ACB"/>
    <w:rsid w:val="005269BE"/>
    <w:rsid w:val="00531732"/>
    <w:rsid w:val="005355E4"/>
    <w:rsid w:val="00537533"/>
    <w:rsid w:val="00537E02"/>
    <w:rsid w:val="00537E37"/>
    <w:rsid w:val="00540AED"/>
    <w:rsid w:val="00540E47"/>
    <w:rsid w:val="00540EF6"/>
    <w:rsid w:val="00540F3B"/>
    <w:rsid w:val="005414BD"/>
    <w:rsid w:val="0054486A"/>
    <w:rsid w:val="005458B1"/>
    <w:rsid w:val="00547E5C"/>
    <w:rsid w:val="00550D64"/>
    <w:rsid w:val="00550D66"/>
    <w:rsid w:val="00551B4D"/>
    <w:rsid w:val="005521A4"/>
    <w:rsid w:val="00552783"/>
    <w:rsid w:val="00554293"/>
    <w:rsid w:val="0055524E"/>
    <w:rsid w:val="00564418"/>
    <w:rsid w:val="00564BB0"/>
    <w:rsid w:val="00565517"/>
    <w:rsid w:val="00565D77"/>
    <w:rsid w:val="005670C5"/>
    <w:rsid w:val="00572EBE"/>
    <w:rsid w:val="0057521C"/>
    <w:rsid w:val="0057524E"/>
    <w:rsid w:val="00575BE1"/>
    <w:rsid w:val="00577447"/>
    <w:rsid w:val="00577F23"/>
    <w:rsid w:val="00577F85"/>
    <w:rsid w:val="005805B7"/>
    <w:rsid w:val="00581248"/>
    <w:rsid w:val="00583941"/>
    <w:rsid w:val="00585D9E"/>
    <w:rsid w:val="00586A37"/>
    <w:rsid w:val="00593B2F"/>
    <w:rsid w:val="00596240"/>
    <w:rsid w:val="005977FB"/>
    <w:rsid w:val="005A0EC9"/>
    <w:rsid w:val="005A3196"/>
    <w:rsid w:val="005A3421"/>
    <w:rsid w:val="005A3C8E"/>
    <w:rsid w:val="005A6029"/>
    <w:rsid w:val="005B0BCF"/>
    <w:rsid w:val="005B3214"/>
    <w:rsid w:val="005B78F5"/>
    <w:rsid w:val="005C321A"/>
    <w:rsid w:val="005C4D35"/>
    <w:rsid w:val="005C5E85"/>
    <w:rsid w:val="005C7664"/>
    <w:rsid w:val="005D6CFA"/>
    <w:rsid w:val="005E0152"/>
    <w:rsid w:val="005E0344"/>
    <w:rsid w:val="005E202C"/>
    <w:rsid w:val="005E46D5"/>
    <w:rsid w:val="005F0213"/>
    <w:rsid w:val="005F0DE1"/>
    <w:rsid w:val="005F11E2"/>
    <w:rsid w:val="0060046C"/>
    <w:rsid w:val="00600603"/>
    <w:rsid w:val="00600B7A"/>
    <w:rsid w:val="0060173E"/>
    <w:rsid w:val="0060247C"/>
    <w:rsid w:val="006038BC"/>
    <w:rsid w:val="0061082D"/>
    <w:rsid w:val="00610B61"/>
    <w:rsid w:val="00613AB6"/>
    <w:rsid w:val="00614351"/>
    <w:rsid w:val="00614E15"/>
    <w:rsid w:val="006161A7"/>
    <w:rsid w:val="0061668E"/>
    <w:rsid w:val="0061724D"/>
    <w:rsid w:val="00620243"/>
    <w:rsid w:val="00620CEC"/>
    <w:rsid w:val="006222CB"/>
    <w:rsid w:val="006223E5"/>
    <w:rsid w:val="00622E6B"/>
    <w:rsid w:val="006240A5"/>
    <w:rsid w:val="0062593F"/>
    <w:rsid w:val="006265E5"/>
    <w:rsid w:val="00631FA5"/>
    <w:rsid w:val="00633893"/>
    <w:rsid w:val="00636D77"/>
    <w:rsid w:val="0064262B"/>
    <w:rsid w:val="00644B82"/>
    <w:rsid w:val="00646CAC"/>
    <w:rsid w:val="006515FD"/>
    <w:rsid w:val="00654E00"/>
    <w:rsid w:val="00656CBA"/>
    <w:rsid w:val="00665177"/>
    <w:rsid w:val="00665E66"/>
    <w:rsid w:val="00671FB2"/>
    <w:rsid w:val="00675FC6"/>
    <w:rsid w:val="00677705"/>
    <w:rsid w:val="00682ABD"/>
    <w:rsid w:val="0068328E"/>
    <w:rsid w:val="006845EE"/>
    <w:rsid w:val="0068776A"/>
    <w:rsid w:val="00691E88"/>
    <w:rsid w:val="00692066"/>
    <w:rsid w:val="006971EF"/>
    <w:rsid w:val="006A03F8"/>
    <w:rsid w:val="006A0547"/>
    <w:rsid w:val="006A1B52"/>
    <w:rsid w:val="006A7296"/>
    <w:rsid w:val="006B0283"/>
    <w:rsid w:val="006C4197"/>
    <w:rsid w:val="006C5DCF"/>
    <w:rsid w:val="006C6C9C"/>
    <w:rsid w:val="006C70E2"/>
    <w:rsid w:val="006D1CB6"/>
    <w:rsid w:val="006D2882"/>
    <w:rsid w:val="006D33FA"/>
    <w:rsid w:val="006E1EC5"/>
    <w:rsid w:val="006E29EE"/>
    <w:rsid w:val="006E307E"/>
    <w:rsid w:val="006E4E79"/>
    <w:rsid w:val="006E7C48"/>
    <w:rsid w:val="006F0699"/>
    <w:rsid w:val="006F06ED"/>
    <w:rsid w:val="006F48CB"/>
    <w:rsid w:val="006F4A32"/>
    <w:rsid w:val="006F4FE6"/>
    <w:rsid w:val="00702F3E"/>
    <w:rsid w:val="0070362C"/>
    <w:rsid w:val="007054EA"/>
    <w:rsid w:val="00705B56"/>
    <w:rsid w:val="00707018"/>
    <w:rsid w:val="007076E6"/>
    <w:rsid w:val="00707C67"/>
    <w:rsid w:val="00710029"/>
    <w:rsid w:val="007117DA"/>
    <w:rsid w:val="00713D59"/>
    <w:rsid w:val="0071689D"/>
    <w:rsid w:val="00720FD3"/>
    <w:rsid w:val="00725FD2"/>
    <w:rsid w:val="00726248"/>
    <w:rsid w:val="0073070C"/>
    <w:rsid w:val="007324D9"/>
    <w:rsid w:val="00733225"/>
    <w:rsid w:val="00734629"/>
    <w:rsid w:val="00735B5B"/>
    <w:rsid w:val="00736B53"/>
    <w:rsid w:val="00737DBD"/>
    <w:rsid w:val="007406C0"/>
    <w:rsid w:val="00743730"/>
    <w:rsid w:val="007453CE"/>
    <w:rsid w:val="0074607D"/>
    <w:rsid w:val="00747A1C"/>
    <w:rsid w:val="00753BEB"/>
    <w:rsid w:val="00754339"/>
    <w:rsid w:val="00755FF4"/>
    <w:rsid w:val="00756B6A"/>
    <w:rsid w:val="007573CE"/>
    <w:rsid w:val="00757852"/>
    <w:rsid w:val="007602B7"/>
    <w:rsid w:val="0076074A"/>
    <w:rsid w:val="0076102D"/>
    <w:rsid w:val="0076178A"/>
    <w:rsid w:val="00761E6B"/>
    <w:rsid w:val="007636EE"/>
    <w:rsid w:val="007639BA"/>
    <w:rsid w:val="00767D9E"/>
    <w:rsid w:val="00767FD1"/>
    <w:rsid w:val="007703F3"/>
    <w:rsid w:val="007712A8"/>
    <w:rsid w:val="007721B2"/>
    <w:rsid w:val="007766A1"/>
    <w:rsid w:val="00780179"/>
    <w:rsid w:val="00780B75"/>
    <w:rsid w:val="00782FA9"/>
    <w:rsid w:val="007847BA"/>
    <w:rsid w:val="00784CC4"/>
    <w:rsid w:val="00786CF2"/>
    <w:rsid w:val="00791C7F"/>
    <w:rsid w:val="00794F3E"/>
    <w:rsid w:val="007A2A62"/>
    <w:rsid w:val="007A33F7"/>
    <w:rsid w:val="007A736D"/>
    <w:rsid w:val="007B32EF"/>
    <w:rsid w:val="007B5523"/>
    <w:rsid w:val="007B6085"/>
    <w:rsid w:val="007B7E97"/>
    <w:rsid w:val="007C0988"/>
    <w:rsid w:val="007C0C78"/>
    <w:rsid w:val="007C1382"/>
    <w:rsid w:val="007C2016"/>
    <w:rsid w:val="007C2969"/>
    <w:rsid w:val="007C5A19"/>
    <w:rsid w:val="007C605E"/>
    <w:rsid w:val="007C6348"/>
    <w:rsid w:val="007C6A8C"/>
    <w:rsid w:val="007D1664"/>
    <w:rsid w:val="007D398F"/>
    <w:rsid w:val="007D5189"/>
    <w:rsid w:val="007D54D5"/>
    <w:rsid w:val="007D698A"/>
    <w:rsid w:val="007E284E"/>
    <w:rsid w:val="007E3C1F"/>
    <w:rsid w:val="007E4A4D"/>
    <w:rsid w:val="007E59DD"/>
    <w:rsid w:val="007F283E"/>
    <w:rsid w:val="007F3146"/>
    <w:rsid w:val="007F49EA"/>
    <w:rsid w:val="00801FF3"/>
    <w:rsid w:val="00805997"/>
    <w:rsid w:val="00805A7E"/>
    <w:rsid w:val="008074BF"/>
    <w:rsid w:val="00814541"/>
    <w:rsid w:val="00814A2D"/>
    <w:rsid w:val="00814F26"/>
    <w:rsid w:val="00824032"/>
    <w:rsid w:val="0082478A"/>
    <w:rsid w:val="00826D40"/>
    <w:rsid w:val="00831F9A"/>
    <w:rsid w:val="00834715"/>
    <w:rsid w:val="008367ED"/>
    <w:rsid w:val="008378E9"/>
    <w:rsid w:val="00840923"/>
    <w:rsid w:val="00843572"/>
    <w:rsid w:val="008500AC"/>
    <w:rsid w:val="00850DE9"/>
    <w:rsid w:val="00853D53"/>
    <w:rsid w:val="00853E50"/>
    <w:rsid w:val="00854108"/>
    <w:rsid w:val="0085422C"/>
    <w:rsid w:val="00855969"/>
    <w:rsid w:val="0085685D"/>
    <w:rsid w:val="008614E3"/>
    <w:rsid w:val="008617D2"/>
    <w:rsid w:val="0086204B"/>
    <w:rsid w:val="00863BF6"/>
    <w:rsid w:val="00870314"/>
    <w:rsid w:val="008817F2"/>
    <w:rsid w:val="00883B40"/>
    <w:rsid w:val="008851C8"/>
    <w:rsid w:val="00885FD5"/>
    <w:rsid w:val="008861DD"/>
    <w:rsid w:val="00891C3B"/>
    <w:rsid w:val="008922FA"/>
    <w:rsid w:val="008944A4"/>
    <w:rsid w:val="008946DF"/>
    <w:rsid w:val="00895C69"/>
    <w:rsid w:val="00896536"/>
    <w:rsid w:val="008A14AE"/>
    <w:rsid w:val="008A40F4"/>
    <w:rsid w:val="008A6257"/>
    <w:rsid w:val="008A6405"/>
    <w:rsid w:val="008A721B"/>
    <w:rsid w:val="008A7879"/>
    <w:rsid w:val="008B01C0"/>
    <w:rsid w:val="008B2D42"/>
    <w:rsid w:val="008B4106"/>
    <w:rsid w:val="008B46F8"/>
    <w:rsid w:val="008B5224"/>
    <w:rsid w:val="008B7DA5"/>
    <w:rsid w:val="008C0B2E"/>
    <w:rsid w:val="008C2114"/>
    <w:rsid w:val="008C2EAE"/>
    <w:rsid w:val="008C35AA"/>
    <w:rsid w:val="008C74B8"/>
    <w:rsid w:val="008C799A"/>
    <w:rsid w:val="008C7FC5"/>
    <w:rsid w:val="008D0100"/>
    <w:rsid w:val="008D304A"/>
    <w:rsid w:val="008E08E0"/>
    <w:rsid w:val="008E2E98"/>
    <w:rsid w:val="008E4747"/>
    <w:rsid w:val="008F0036"/>
    <w:rsid w:val="008F26D8"/>
    <w:rsid w:val="008F3246"/>
    <w:rsid w:val="008F4F17"/>
    <w:rsid w:val="008F5F8E"/>
    <w:rsid w:val="009011A8"/>
    <w:rsid w:val="00902AC9"/>
    <w:rsid w:val="00904E72"/>
    <w:rsid w:val="00912DB3"/>
    <w:rsid w:val="0091313E"/>
    <w:rsid w:val="00915FC5"/>
    <w:rsid w:val="00916667"/>
    <w:rsid w:val="00917022"/>
    <w:rsid w:val="0091712C"/>
    <w:rsid w:val="0092646E"/>
    <w:rsid w:val="00926F1E"/>
    <w:rsid w:val="00927922"/>
    <w:rsid w:val="009307BF"/>
    <w:rsid w:val="0093250D"/>
    <w:rsid w:val="00940498"/>
    <w:rsid w:val="00944B05"/>
    <w:rsid w:val="00950D9B"/>
    <w:rsid w:val="009528A6"/>
    <w:rsid w:val="0095321A"/>
    <w:rsid w:val="00953E4F"/>
    <w:rsid w:val="00960E94"/>
    <w:rsid w:val="0096389C"/>
    <w:rsid w:val="009638DC"/>
    <w:rsid w:val="0096516C"/>
    <w:rsid w:val="00965303"/>
    <w:rsid w:val="0096570A"/>
    <w:rsid w:val="009703AB"/>
    <w:rsid w:val="009711C2"/>
    <w:rsid w:val="00971D25"/>
    <w:rsid w:val="00971EE4"/>
    <w:rsid w:val="00972D62"/>
    <w:rsid w:val="009821ED"/>
    <w:rsid w:val="00985048"/>
    <w:rsid w:val="00986864"/>
    <w:rsid w:val="0098697A"/>
    <w:rsid w:val="009871F6"/>
    <w:rsid w:val="00987AE1"/>
    <w:rsid w:val="00987E2C"/>
    <w:rsid w:val="009953F2"/>
    <w:rsid w:val="009956C1"/>
    <w:rsid w:val="00996D70"/>
    <w:rsid w:val="00996FC2"/>
    <w:rsid w:val="009978AC"/>
    <w:rsid w:val="009A366F"/>
    <w:rsid w:val="009A3B57"/>
    <w:rsid w:val="009A6F6E"/>
    <w:rsid w:val="009A7531"/>
    <w:rsid w:val="009B1860"/>
    <w:rsid w:val="009B2D35"/>
    <w:rsid w:val="009B50AD"/>
    <w:rsid w:val="009B5A8D"/>
    <w:rsid w:val="009B602B"/>
    <w:rsid w:val="009B6635"/>
    <w:rsid w:val="009C148F"/>
    <w:rsid w:val="009C274E"/>
    <w:rsid w:val="009C2E2D"/>
    <w:rsid w:val="009C58F5"/>
    <w:rsid w:val="009C77B4"/>
    <w:rsid w:val="009C7802"/>
    <w:rsid w:val="009D1157"/>
    <w:rsid w:val="009D5F4E"/>
    <w:rsid w:val="009D7704"/>
    <w:rsid w:val="009E0050"/>
    <w:rsid w:val="009E200B"/>
    <w:rsid w:val="009E4622"/>
    <w:rsid w:val="009E5605"/>
    <w:rsid w:val="009E63C9"/>
    <w:rsid w:val="009E64D8"/>
    <w:rsid w:val="009E6D4C"/>
    <w:rsid w:val="009F1746"/>
    <w:rsid w:val="009F1F88"/>
    <w:rsid w:val="00A03179"/>
    <w:rsid w:val="00A04E3D"/>
    <w:rsid w:val="00A05107"/>
    <w:rsid w:val="00A06F23"/>
    <w:rsid w:val="00A10911"/>
    <w:rsid w:val="00A12FE0"/>
    <w:rsid w:val="00A2135F"/>
    <w:rsid w:val="00A21550"/>
    <w:rsid w:val="00A237DC"/>
    <w:rsid w:val="00A2406E"/>
    <w:rsid w:val="00A30EE1"/>
    <w:rsid w:val="00A33E68"/>
    <w:rsid w:val="00A42D53"/>
    <w:rsid w:val="00A45F6C"/>
    <w:rsid w:val="00A46E33"/>
    <w:rsid w:val="00A46F7C"/>
    <w:rsid w:val="00A5224D"/>
    <w:rsid w:val="00A52AF7"/>
    <w:rsid w:val="00A56310"/>
    <w:rsid w:val="00A62212"/>
    <w:rsid w:val="00A65304"/>
    <w:rsid w:val="00A66DE4"/>
    <w:rsid w:val="00A700B5"/>
    <w:rsid w:val="00A711F5"/>
    <w:rsid w:val="00A73739"/>
    <w:rsid w:val="00A77C80"/>
    <w:rsid w:val="00A803C9"/>
    <w:rsid w:val="00A819D4"/>
    <w:rsid w:val="00A8331C"/>
    <w:rsid w:val="00A849F7"/>
    <w:rsid w:val="00A86741"/>
    <w:rsid w:val="00A90F19"/>
    <w:rsid w:val="00A90FDC"/>
    <w:rsid w:val="00A93993"/>
    <w:rsid w:val="00A94416"/>
    <w:rsid w:val="00A947A7"/>
    <w:rsid w:val="00A97D0E"/>
    <w:rsid w:val="00AA07D8"/>
    <w:rsid w:val="00AA1461"/>
    <w:rsid w:val="00AA5074"/>
    <w:rsid w:val="00AA78B1"/>
    <w:rsid w:val="00AA7E28"/>
    <w:rsid w:val="00AB1033"/>
    <w:rsid w:val="00AB1C03"/>
    <w:rsid w:val="00AB3F02"/>
    <w:rsid w:val="00AB4559"/>
    <w:rsid w:val="00AB619D"/>
    <w:rsid w:val="00AC0262"/>
    <w:rsid w:val="00AC43B7"/>
    <w:rsid w:val="00AD0ADC"/>
    <w:rsid w:val="00AD0DAC"/>
    <w:rsid w:val="00AD4AD0"/>
    <w:rsid w:val="00AD4B30"/>
    <w:rsid w:val="00AD6BCF"/>
    <w:rsid w:val="00AE08D8"/>
    <w:rsid w:val="00AE0944"/>
    <w:rsid w:val="00AE0958"/>
    <w:rsid w:val="00AE1B0B"/>
    <w:rsid w:val="00AE338F"/>
    <w:rsid w:val="00AE6F5A"/>
    <w:rsid w:val="00AE7D2C"/>
    <w:rsid w:val="00AF0647"/>
    <w:rsid w:val="00AF4839"/>
    <w:rsid w:val="00AF5160"/>
    <w:rsid w:val="00AF52B7"/>
    <w:rsid w:val="00B01EE5"/>
    <w:rsid w:val="00B03C89"/>
    <w:rsid w:val="00B03CE0"/>
    <w:rsid w:val="00B0464E"/>
    <w:rsid w:val="00B06F7D"/>
    <w:rsid w:val="00B11494"/>
    <w:rsid w:val="00B13D44"/>
    <w:rsid w:val="00B14FBE"/>
    <w:rsid w:val="00B177BB"/>
    <w:rsid w:val="00B26428"/>
    <w:rsid w:val="00B26ED4"/>
    <w:rsid w:val="00B27813"/>
    <w:rsid w:val="00B33675"/>
    <w:rsid w:val="00B33C3D"/>
    <w:rsid w:val="00B37472"/>
    <w:rsid w:val="00B375DE"/>
    <w:rsid w:val="00B37A16"/>
    <w:rsid w:val="00B42BF8"/>
    <w:rsid w:val="00B44B63"/>
    <w:rsid w:val="00B45138"/>
    <w:rsid w:val="00B46913"/>
    <w:rsid w:val="00B47FAE"/>
    <w:rsid w:val="00B559E6"/>
    <w:rsid w:val="00B565FD"/>
    <w:rsid w:val="00B56C2A"/>
    <w:rsid w:val="00B6223E"/>
    <w:rsid w:val="00B64E9D"/>
    <w:rsid w:val="00B7138D"/>
    <w:rsid w:val="00B7488E"/>
    <w:rsid w:val="00B753BC"/>
    <w:rsid w:val="00B7627A"/>
    <w:rsid w:val="00B764E5"/>
    <w:rsid w:val="00B76FCB"/>
    <w:rsid w:val="00B80EA8"/>
    <w:rsid w:val="00B82B6A"/>
    <w:rsid w:val="00B82CEA"/>
    <w:rsid w:val="00B90406"/>
    <w:rsid w:val="00B91CF8"/>
    <w:rsid w:val="00B92B36"/>
    <w:rsid w:val="00B93B81"/>
    <w:rsid w:val="00B94052"/>
    <w:rsid w:val="00B95758"/>
    <w:rsid w:val="00B95B8D"/>
    <w:rsid w:val="00BA0397"/>
    <w:rsid w:val="00BA0B5C"/>
    <w:rsid w:val="00BA13F0"/>
    <w:rsid w:val="00BA18F2"/>
    <w:rsid w:val="00BA2DA8"/>
    <w:rsid w:val="00BA586E"/>
    <w:rsid w:val="00BA5F10"/>
    <w:rsid w:val="00BB157D"/>
    <w:rsid w:val="00BB2143"/>
    <w:rsid w:val="00BB30EF"/>
    <w:rsid w:val="00BC16E7"/>
    <w:rsid w:val="00BC18C0"/>
    <w:rsid w:val="00BC1B30"/>
    <w:rsid w:val="00BC4D1B"/>
    <w:rsid w:val="00BC54D1"/>
    <w:rsid w:val="00BC6CF4"/>
    <w:rsid w:val="00BD39AD"/>
    <w:rsid w:val="00BD3E0D"/>
    <w:rsid w:val="00BD42C5"/>
    <w:rsid w:val="00BD55AE"/>
    <w:rsid w:val="00BD72FB"/>
    <w:rsid w:val="00BD7BBD"/>
    <w:rsid w:val="00BE0351"/>
    <w:rsid w:val="00BE22D5"/>
    <w:rsid w:val="00BE3397"/>
    <w:rsid w:val="00BE3572"/>
    <w:rsid w:val="00BE4449"/>
    <w:rsid w:val="00BE4809"/>
    <w:rsid w:val="00BE4CF4"/>
    <w:rsid w:val="00BE639A"/>
    <w:rsid w:val="00BF0218"/>
    <w:rsid w:val="00BF09FE"/>
    <w:rsid w:val="00BF1DD9"/>
    <w:rsid w:val="00BF43FC"/>
    <w:rsid w:val="00BF7284"/>
    <w:rsid w:val="00C02AA7"/>
    <w:rsid w:val="00C07C31"/>
    <w:rsid w:val="00C110FA"/>
    <w:rsid w:val="00C11879"/>
    <w:rsid w:val="00C12452"/>
    <w:rsid w:val="00C124C2"/>
    <w:rsid w:val="00C14040"/>
    <w:rsid w:val="00C153F1"/>
    <w:rsid w:val="00C16869"/>
    <w:rsid w:val="00C16FC6"/>
    <w:rsid w:val="00C172EF"/>
    <w:rsid w:val="00C17BBC"/>
    <w:rsid w:val="00C202B5"/>
    <w:rsid w:val="00C209AA"/>
    <w:rsid w:val="00C2320B"/>
    <w:rsid w:val="00C27691"/>
    <w:rsid w:val="00C31A51"/>
    <w:rsid w:val="00C31E7A"/>
    <w:rsid w:val="00C3207F"/>
    <w:rsid w:val="00C32CF8"/>
    <w:rsid w:val="00C350BA"/>
    <w:rsid w:val="00C371DE"/>
    <w:rsid w:val="00C37F08"/>
    <w:rsid w:val="00C40FE2"/>
    <w:rsid w:val="00C41890"/>
    <w:rsid w:val="00C41B87"/>
    <w:rsid w:val="00C431C7"/>
    <w:rsid w:val="00C469DE"/>
    <w:rsid w:val="00C519A0"/>
    <w:rsid w:val="00C573FE"/>
    <w:rsid w:val="00C63EB7"/>
    <w:rsid w:val="00C643AE"/>
    <w:rsid w:val="00C6696D"/>
    <w:rsid w:val="00C818BE"/>
    <w:rsid w:val="00C8537B"/>
    <w:rsid w:val="00C85482"/>
    <w:rsid w:val="00C85529"/>
    <w:rsid w:val="00C87BD4"/>
    <w:rsid w:val="00C951C3"/>
    <w:rsid w:val="00C96CF1"/>
    <w:rsid w:val="00CA0C12"/>
    <w:rsid w:val="00CA282C"/>
    <w:rsid w:val="00CA382E"/>
    <w:rsid w:val="00CA4204"/>
    <w:rsid w:val="00CA4297"/>
    <w:rsid w:val="00CA7940"/>
    <w:rsid w:val="00CB20D1"/>
    <w:rsid w:val="00CB31D8"/>
    <w:rsid w:val="00CB3F87"/>
    <w:rsid w:val="00CB52F9"/>
    <w:rsid w:val="00CC13BD"/>
    <w:rsid w:val="00CC1CC7"/>
    <w:rsid w:val="00CC24ED"/>
    <w:rsid w:val="00CC7107"/>
    <w:rsid w:val="00CC7744"/>
    <w:rsid w:val="00CD0809"/>
    <w:rsid w:val="00CD1854"/>
    <w:rsid w:val="00CD313B"/>
    <w:rsid w:val="00CD36F5"/>
    <w:rsid w:val="00CD782C"/>
    <w:rsid w:val="00CE0466"/>
    <w:rsid w:val="00CE068C"/>
    <w:rsid w:val="00CE18FA"/>
    <w:rsid w:val="00CE1F0A"/>
    <w:rsid w:val="00CE4561"/>
    <w:rsid w:val="00CE575F"/>
    <w:rsid w:val="00CF110F"/>
    <w:rsid w:val="00CF12CD"/>
    <w:rsid w:val="00CF22B3"/>
    <w:rsid w:val="00CF2AFB"/>
    <w:rsid w:val="00CF4E71"/>
    <w:rsid w:val="00CF5B73"/>
    <w:rsid w:val="00CF644A"/>
    <w:rsid w:val="00CF6AA7"/>
    <w:rsid w:val="00CF74FD"/>
    <w:rsid w:val="00CF754F"/>
    <w:rsid w:val="00D060AC"/>
    <w:rsid w:val="00D106E8"/>
    <w:rsid w:val="00D14544"/>
    <w:rsid w:val="00D16B01"/>
    <w:rsid w:val="00D16CCC"/>
    <w:rsid w:val="00D17227"/>
    <w:rsid w:val="00D204EE"/>
    <w:rsid w:val="00D21180"/>
    <w:rsid w:val="00D21AA6"/>
    <w:rsid w:val="00D22058"/>
    <w:rsid w:val="00D22EE2"/>
    <w:rsid w:val="00D230D2"/>
    <w:rsid w:val="00D23EF6"/>
    <w:rsid w:val="00D23FE7"/>
    <w:rsid w:val="00D26E6D"/>
    <w:rsid w:val="00D2745A"/>
    <w:rsid w:val="00D324EF"/>
    <w:rsid w:val="00D337E1"/>
    <w:rsid w:val="00D368FF"/>
    <w:rsid w:val="00D37C8B"/>
    <w:rsid w:val="00D41A80"/>
    <w:rsid w:val="00D4282B"/>
    <w:rsid w:val="00D431F5"/>
    <w:rsid w:val="00D4543F"/>
    <w:rsid w:val="00D50A74"/>
    <w:rsid w:val="00D51E78"/>
    <w:rsid w:val="00D51F60"/>
    <w:rsid w:val="00D5238C"/>
    <w:rsid w:val="00D55296"/>
    <w:rsid w:val="00D5582E"/>
    <w:rsid w:val="00D5727A"/>
    <w:rsid w:val="00D615F1"/>
    <w:rsid w:val="00D631B6"/>
    <w:rsid w:val="00D659CB"/>
    <w:rsid w:val="00D65F74"/>
    <w:rsid w:val="00D6640D"/>
    <w:rsid w:val="00D70E14"/>
    <w:rsid w:val="00D7285C"/>
    <w:rsid w:val="00D74B20"/>
    <w:rsid w:val="00D764C9"/>
    <w:rsid w:val="00D76DD6"/>
    <w:rsid w:val="00D80F37"/>
    <w:rsid w:val="00D8105E"/>
    <w:rsid w:val="00D82E79"/>
    <w:rsid w:val="00D917F0"/>
    <w:rsid w:val="00D9600F"/>
    <w:rsid w:val="00DA53B2"/>
    <w:rsid w:val="00DA60D6"/>
    <w:rsid w:val="00DB1EE2"/>
    <w:rsid w:val="00DB24A8"/>
    <w:rsid w:val="00DB2946"/>
    <w:rsid w:val="00DB4C52"/>
    <w:rsid w:val="00DB59DF"/>
    <w:rsid w:val="00DB5AC2"/>
    <w:rsid w:val="00DC0F5C"/>
    <w:rsid w:val="00DC2E11"/>
    <w:rsid w:val="00DC36B2"/>
    <w:rsid w:val="00DC4E49"/>
    <w:rsid w:val="00DC56D8"/>
    <w:rsid w:val="00DC72EC"/>
    <w:rsid w:val="00DD0214"/>
    <w:rsid w:val="00DD2897"/>
    <w:rsid w:val="00DD4CE9"/>
    <w:rsid w:val="00DD6F84"/>
    <w:rsid w:val="00DE112D"/>
    <w:rsid w:val="00DE11C1"/>
    <w:rsid w:val="00DE1C25"/>
    <w:rsid w:val="00DE6AF2"/>
    <w:rsid w:val="00DE7843"/>
    <w:rsid w:val="00DE7E05"/>
    <w:rsid w:val="00DF02D2"/>
    <w:rsid w:val="00DF1EB8"/>
    <w:rsid w:val="00DF2F06"/>
    <w:rsid w:val="00DF4831"/>
    <w:rsid w:val="00E01AE5"/>
    <w:rsid w:val="00E03E5C"/>
    <w:rsid w:val="00E12145"/>
    <w:rsid w:val="00E13A45"/>
    <w:rsid w:val="00E1433C"/>
    <w:rsid w:val="00E176DE"/>
    <w:rsid w:val="00E17ADA"/>
    <w:rsid w:val="00E214CC"/>
    <w:rsid w:val="00E22799"/>
    <w:rsid w:val="00E238BD"/>
    <w:rsid w:val="00E24168"/>
    <w:rsid w:val="00E27D7C"/>
    <w:rsid w:val="00E34CD3"/>
    <w:rsid w:val="00E429F6"/>
    <w:rsid w:val="00E44126"/>
    <w:rsid w:val="00E465E0"/>
    <w:rsid w:val="00E46925"/>
    <w:rsid w:val="00E47197"/>
    <w:rsid w:val="00E56585"/>
    <w:rsid w:val="00E56F36"/>
    <w:rsid w:val="00E60B28"/>
    <w:rsid w:val="00E62ACC"/>
    <w:rsid w:val="00E63ECF"/>
    <w:rsid w:val="00E64CE9"/>
    <w:rsid w:val="00E74C77"/>
    <w:rsid w:val="00E8124E"/>
    <w:rsid w:val="00E83029"/>
    <w:rsid w:val="00E8402A"/>
    <w:rsid w:val="00E843E0"/>
    <w:rsid w:val="00E85658"/>
    <w:rsid w:val="00E86C9D"/>
    <w:rsid w:val="00E90D98"/>
    <w:rsid w:val="00E916FF"/>
    <w:rsid w:val="00E9178C"/>
    <w:rsid w:val="00E9255A"/>
    <w:rsid w:val="00E940C0"/>
    <w:rsid w:val="00EA0B08"/>
    <w:rsid w:val="00EA100B"/>
    <w:rsid w:val="00EA207E"/>
    <w:rsid w:val="00EA3D00"/>
    <w:rsid w:val="00EA7976"/>
    <w:rsid w:val="00EB1E9B"/>
    <w:rsid w:val="00EB698A"/>
    <w:rsid w:val="00EC1B3E"/>
    <w:rsid w:val="00EC2CA4"/>
    <w:rsid w:val="00EC3175"/>
    <w:rsid w:val="00EC355C"/>
    <w:rsid w:val="00ED3D63"/>
    <w:rsid w:val="00ED68D1"/>
    <w:rsid w:val="00ED7724"/>
    <w:rsid w:val="00EE0E7D"/>
    <w:rsid w:val="00EE125D"/>
    <w:rsid w:val="00EE1E95"/>
    <w:rsid w:val="00EE2C1D"/>
    <w:rsid w:val="00EE623E"/>
    <w:rsid w:val="00EE77CD"/>
    <w:rsid w:val="00EF1154"/>
    <w:rsid w:val="00EF47EC"/>
    <w:rsid w:val="00EF4ACB"/>
    <w:rsid w:val="00EF5F7C"/>
    <w:rsid w:val="00EF625A"/>
    <w:rsid w:val="00F01A6A"/>
    <w:rsid w:val="00F03669"/>
    <w:rsid w:val="00F0424F"/>
    <w:rsid w:val="00F06DE7"/>
    <w:rsid w:val="00F073CA"/>
    <w:rsid w:val="00F076C0"/>
    <w:rsid w:val="00F07A82"/>
    <w:rsid w:val="00F115B0"/>
    <w:rsid w:val="00F16366"/>
    <w:rsid w:val="00F16BE7"/>
    <w:rsid w:val="00F2022B"/>
    <w:rsid w:val="00F24630"/>
    <w:rsid w:val="00F24BA1"/>
    <w:rsid w:val="00F26E1C"/>
    <w:rsid w:val="00F30EFD"/>
    <w:rsid w:val="00F31C40"/>
    <w:rsid w:val="00F329B6"/>
    <w:rsid w:val="00F34B33"/>
    <w:rsid w:val="00F358E8"/>
    <w:rsid w:val="00F40659"/>
    <w:rsid w:val="00F41A98"/>
    <w:rsid w:val="00F44365"/>
    <w:rsid w:val="00F447A2"/>
    <w:rsid w:val="00F44C9D"/>
    <w:rsid w:val="00F45D01"/>
    <w:rsid w:val="00F4651D"/>
    <w:rsid w:val="00F46AB9"/>
    <w:rsid w:val="00F4703B"/>
    <w:rsid w:val="00F5118B"/>
    <w:rsid w:val="00F5195A"/>
    <w:rsid w:val="00F5518D"/>
    <w:rsid w:val="00F55AEB"/>
    <w:rsid w:val="00F5601E"/>
    <w:rsid w:val="00F56171"/>
    <w:rsid w:val="00F567EB"/>
    <w:rsid w:val="00F5771C"/>
    <w:rsid w:val="00F60124"/>
    <w:rsid w:val="00F64B08"/>
    <w:rsid w:val="00F65054"/>
    <w:rsid w:val="00F66E14"/>
    <w:rsid w:val="00F6732B"/>
    <w:rsid w:val="00F678E0"/>
    <w:rsid w:val="00F67FA6"/>
    <w:rsid w:val="00F75D7D"/>
    <w:rsid w:val="00F768E1"/>
    <w:rsid w:val="00F80501"/>
    <w:rsid w:val="00F815D8"/>
    <w:rsid w:val="00F82AAF"/>
    <w:rsid w:val="00F85B60"/>
    <w:rsid w:val="00F8651F"/>
    <w:rsid w:val="00F86F19"/>
    <w:rsid w:val="00F8758B"/>
    <w:rsid w:val="00F912E8"/>
    <w:rsid w:val="00F96A07"/>
    <w:rsid w:val="00F96C9B"/>
    <w:rsid w:val="00FA3772"/>
    <w:rsid w:val="00FA56D3"/>
    <w:rsid w:val="00FA5745"/>
    <w:rsid w:val="00FA5BAB"/>
    <w:rsid w:val="00FA5EC3"/>
    <w:rsid w:val="00FA61A5"/>
    <w:rsid w:val="00FB467F"/>
    <w:rsid w:val="00FB4A1B"/>
    <w:rsid w:val="00FB6807"/>
    <w:rsid w:val="00FB68DD"/>
    <w:rsid w:val="00FB774A"/>
    <w:rsid w:val="00FC0703"/>
    <w:rsid w:val="00FC1EA7"/>
    <w:rsid w:val="00FC2923"/>
    <w:rsid w:val="00FC3556"/>
    <w:rsid w:val="00FC6064"/>
    <w:rsid w:val="00FD03DA"/>
    <w:rsid w:val="00FD098A"/>
    <w:rsid w:val="00FD161B"/>
    <w:rsid w:val="00FD41E7"/>
    <w:rsid w:val="00FD46B7"/>
    <w:rsid w:val="00FD4AC3"/>
    <w:rsid w:val="00FD50DC"/>
    <w:rsid w:val="00FD7BD2"/>
    <w:rsid w:val="00FE1B44"/>
    <w:rsid w:val="00FE2E5E"/>
    <w:rsid w:val="00FE38C8"/>
    <w:rsid w:val="00FF4315"/>
    <w:rsid w:val="00FF462B"/>
    <w:rsid w:val="00FF4B91"/>
    <w:rsid w:val="00FF6944"/>
    <w:rsid w:val="00FF6A70"/>
    <w:rsid w:val="00FF7481"/>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5346D7C"/>
  <w15:docId w15:val="{1614DB04-4CBD-4B48-ADF2-4690AB862F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7">
    <w:lsdException w:name="Normal" w:uiPriority="7"/>
    <w:lsdException w:name="heading 1" w:uiPriority="9"/>
    <w:lsdException w:name="heading 2" w:semiHidden="1" w:uiPriority="9" w:unhideWhenUsed="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7"/>
    <w:semiHidden/>
    <w:rsid w:val="00B80EA8"/>
    <w:rPr>
      <w:rFonts w:ascii="Arial" w:hAnsi="Arial" w:cs="Arial"/>
      <w:sz w:val="22"/>
      <w:szCs w:val="22"/>
      <w:lang w:eastAsia="en-US"/>
    </w:rPr>
  </w:style>
  <w:style w:type="paragraph" w:styleId="Heading1">
    <w:name w:val="heading 1"/>
    <w:basedOn w:val="BodyText"/>
    <w:next w:val="BodyText"/>
    <w:link w:val="Heading1Char"/>
    <w:uiPriority w:val="9"/>
    <w:semiHidden/>
    <w:unhideWhenUsed/>
    <w:rsid w:val="00B565FD"/>
    <w:pPr>
      <w:keepNext/>
      <w:keepLines/>
      <w:spacing w:before="120" w:after="360" w:line="240" w:lineRule="auto"/>
      <w:outlineLvl w:val="0"/>
    </w:pPr>
    <w:rPr>
      <w:rFonts w:ascii="Arial Bold" w:eastAsia="Times New Roman" w:hAnsi="Arial Bold" w:cs="Times New Roman"/>
      <w:b/>
      <w:bCs/>
      <w:color w:val="00553D"/>
      <w:sz w:val="40"/>
      <w:szCs w:val="28"/>
    </w:rPr>
  </w:style>
  <w:style w:type="paragraph" w:styleId="Heading2">
    <w:name w:val="heading 2"/>
    <w:basedOn w:val="BodyText"/>
    <w:next w:val="BodyText"/>
    <w:link w:val="Heading2Char"/>
    <w:uiPriority w:val="9"/>
    <w:semiHidden/>
    <w:unhideWhenUsed/>
    <w:rsid w:val="00A05107"/>
    <w:pPr>
      <w:keepNext/>
      <w:keepLines/>
      <w:spacing w:before="200" w:after="0"/>
      <w:outlineLvl w:val="1"/>
    </w:pPr>
    <w:rPr>
      <w:rFonts w:eastAsia="Times New Roman" w:cs="Times New Roman"/>
      <w:b/>
      <w:bCs/>
      <w:color w:val="00553D"/>
      <w:sz w:val="26"/>
      <w:szCs w:val="26"/>
    </w:rPr>
  </w:style>
  <w:style w:type="paragraph" w:styleId="Heading3">
    <w:name w:val="heading 3"/>
    <w:basedOn w:val="BodyText"/>
    <w:next w:val="BodyText"/>
    <w:link w:val="Heading3Char"/>
    <w:unhideWhenUsed/>
    <w:qFormat/>
    <w:rsid w:val="00A05107"/>
    <w:pPr>
      <w:keepNext/>
      <w:keepLines/>
      <w:spacing w:before="200" w:after="0"/>
      <w:outlineLvl w:val="2"/>
    </w:pPr>
    <w:rPr>
      <w:rFonts w:eastAsia="Times New Roman" w:cs="Times New Roman"/>
      <w:b/>
      <w:bCs/>
      <w:color w:val="00553D"/>
    </w:rPr>
  </w:style>
  <w:style w:type="paragraph" w:styleId="Heading4">
    <w:name w:val="heading 4"/>
    <w:basedOn w:val="BodyText"/>
    <w:next w:val="BodyText"/>
    <w:link w:val="Heading4Char"/>
    <w:unhideWhenUsed/>
    <w:qFormat/>
    <w:rsid w:val="00A05107"/>
    <w:pPr>
      <w:keepNext/>
      <w:keepLines/>
      <w:spacing w:before="200" w:after="0"/>
      <w:outlineLvl w:val="3"/>
    </w:pPr>
    <w:rPr>
      <w:rFonts w:eastAsia="Times New Roman" w:cs="Times New Roman"/>
      <w:b/>
      <w:bCs/>
      <w:i/>
      <w:iCs/>
      <w:color w:val="00553D"/>
    </w:rPr>
  </w:style>
  <w:style w:type="paragraph" w:styleId="Heading5">
    <w:name w:val="heading 5"/>
    <w:basedOn w:val="Normal"/>
    <w:next w:val="Normal"/>
    <w:link w:val="Heading5Char"/>
    <w:uiPriority w:val="9"/>
    <w:semiHidden/>
    <w:qFormat/>
    <w:rsid w:val="00755FF4"/>
    <w:pPr>
      <w:keepNext/>
      <w:keepLines/>
      <w:numPr>
        <w:ilvl w:val="4"/>
        <w:numId w:val="1"/>
      </w:numPr>
      <w:spacing w:before="200"/>
      <w:outlineLvl w:val="4"/>
    </w:pPr>
    <w:rPr>
      <w:rFonts w:ascii="Cambria" w:eastAsia="Times New Roman" w:hAnsi="Cambria" w:cs="Times New Roman"/>
      <w:color w:val="243F60"/>
    </w:rPr>
  </w:style>
  <w:style w:type="paragraph" w:styleId="Heading6">
    <w:name w:val="heading 6"/>
    <w:basedOn w:val="Normal"/>
    <w:next w:val="Normal"/>
    <w:link w:val="Heading6Char"/>
    <w:uiPriority w:val="9"/>
    <w:semiHidden/>
    <w:unhideWhenUsed/>
    <w:qFormat/>
    <w:rsid w:val="00755FF4"/>
    <w:pPr>
      <w:keepNext/>
      <w:keepLines/>
      <w:numPr>
        <w:ilvl w:val="5"/>
        <w:numId w:val="1"/>
      </w:numPr>
      <w:spacing w:before="200"/>
      <w:outlineLvl w:val="5"/>
    </w:pPr>
    <w:rPr>
      <w:rFonts w:ascii="Cambria" w:eastAsia="Times New Roman" w:hAnsi="Cambria" w:cs="Times New Roman"/>
      <w:i/>
      <w:iCs/>
      <w:color w:val="243F60"/>
    </w:rPr>
  </w:style>
  <w:style w:type="paragraph" w:styleId="Heading7">
    <w:name w:val="heading 7"/>
    <w:basedOn w:val="Normal"/>
    <w:next w:val="Normal"/>
    <w:link w:val="Heading7Char"/>
    <w:uiPriority w:val="9"/>
    <w:semiHidden/>
    <w:unhideWhenUsed/>
    <w:qFormat/>
    <w:rsid w:val="00755FF4"/>
    <w:pPr>
      <w:keepNext/>
      <w:keepLines/>
      <w:numPr>
        <w:ilvl w:val="6"/>
        <w:numId w:val="1"/>
      </w:numPr>
      <w:spacing w:before="200"/>
      <w:outlineLvl w:val="6"/>
    </w:pPr>
    <w:rPr>
      <w:rFonts w:ascii="Cambria" w:eastAsia="Times New Roman" w:hAnsi="Cambria" w:cs="Times New Roman"/>
      <w:i/>
      <w:iCs/>
      <w:color w:val="404040"/>
    </w:rPr>
  </w:style>
  <w:style w:type="paragraph" w:styleId="Heading8">
    <w:name w:val="heading 8"/>
    <w:basedOn w:val="Normal"/>
    <w:next w:val="Normal"/>
    <w:link w:val="Heading8Char"/>
    <w:uiPriority w:val="9"/>
    <w:semiHidden/>
    <w:unhideWhenUsed/>
    <w:qFormat/>
    <w:rsid w:val="00755FF4"/>
    <w:pPr>
      <w:keepNext/>
      <w:keepLines/>
      <w:numPr>
        <w:ilvl w:val="7"/>
        <w:numId w:val="1"/>
      </w:numPr>
      <w:spacing w:before="200"/>
      <w:outlineLvl w:val="7"/>
    </w:pPr>
    <w:rPr>
      <w:rFonts w:ascii="Cambria" w:eastAsia="Times New Roman" w:hAnsi="Cambria" w:cs="Times New Roman"/>
      <w:color w:val="404040"/>
      <w:sz w:val="20"/>
      <w:szCs w:val="20"/>
    </w:rPr>
  </w:style>
  <w:style w:type="paragraph" w:styleId="Heading9">
    <w:name w:val="heading 9"/>
    <w:basedOn w:val="Normal"/>
    <w:next w:val="Normal"/>
    <w:link w:val="Heading9Char"/>
    <w:uiPriority w:val="9"/>
    <w:semiHidden/>
    <w:unhideWhenUsed/>
    <w:qFormat/>
    <w:rsid w:val="00755FF4"/>
    <w:pPr>
      <w:keepNext/>
      <w:keepLines/>
      <w:numPr>
        <w:ilvl w:val="8"/>
        <w:numId w:val="1"/>
      </w:numPr>
      <w:spacing w:before="200"/>
      <w:outlineLvl w:val="8"/>
    </w:pPr>
    <w:rPr>
      <w:rFonts w:ascii="Cambria" w:eastAsia="Times New Roman" w:hAnsi="Cambria" w:cs="Times New Roman"/>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BodyText"/>
    <w:link w:val="HeaderChar"/>
    <w:uiPriority w:val="99"/>
    <w:semiHidden/>
    <w:rsid w:val="001375B0"/>
    <w:pPr>
      <w:tabs>
        <w:tab w:val="center" w:pos="4513"/>
        <w:tab w:val="right" w:pos="9026"/>
      </w:tabs>
      <w:spacing w:after="0" w:line="240" w:lineRule="auto"/>
    </w:pPr>
  </w:style>
  <w:style w:type="character" w:customStyle="1" w:styleId="HeaderChar">
    <w:name w:val="Header Char"/>
    <w:link w:val="Header"/>
    <w:uiPriority w:val="99"/>
    <w:semiHidden/>
    <w:rsid w:val="00FD098A"/>
    <w:rPr>
      <w:rFonts w:ascii="Arial" w:hAnsi="Arial" w:cs="Arial"/>
      <w:sz w:val="22"/>
      <w:szCs w:val="22"/>
      <w:lang w:eastAsia="en-US"/>
    </w:rPr>
  </w:style>
  <w:style w:type="paragraph" w:styleId="Footer">
    <w:name w:val="footer"/>
    <w:basedOn w:val="BodyText"/>
    <w:link w:val="FooterChar"/>
    <w:uiPriority w:val="99"/>
    <w:rsid w:val="001375B0"/>
    <w:pPr>
      <w:tabs>
        <w:tab w:val="center" w:pos="4513"/>
        <w:tab w:val="right" w:pos="9026"/>
      </w:tabs>
      <w:spacing w:before="120" w:after="0" w:line="240" w:lineRule="auto"/>
    </w:pPr>
  </w:style>
  <w:style w:type="character" w:customStyle="1" w:styleId="FooterChar">
    <w:name w:val="Footer Char"/>
    <w:link w:val="Footer"/>
    <w:uiPriority w:val="99"/>
    <w:rsid w:val="00FD098A"/>
    <w:rPr>
      <w:rFonts w:ascii="Arial" w:hAnsi="Arial" w:cs="Arial"/>
      <w:sz w:val="22"/>
      <w:szCs w:val="22"/>
      <w:lang w:eastAsia="en-US"/>
    </w:rPr>
  </w:style>
  <w:style w:type="character" w:customStyle="1" w:styleId="Heading1Char">
    <w:name w:val="Heading 1 Char"/>
    <w:link w:val="Heading1"/>
    <w:uiPriority w:val="9"/>
    <w:semiHidden/>
    <w:rsid w:val="00FD098A"/>
    <w:rPr>
      <w:rFonts w:ascii="Arial Bold" w:eastAsia="Times New Roman" w:hAnsi="Arial Bold"/>
      <w:b/>
      <w:bCs/>
      <w:color w:val="00553D"/>
      <w:sz w:val="40"/>
      <w:szCs w:val="28"/>
      <w:lang w:eastAsia="en-US"/>
    </w:rPr>
  </w:style>
  <w:style w:type="character" w:customStyle="1" w:styleId="Heading2Char">
    <w:name w:val="Heading 2 Char"/>
    <w:link w:val="Heading2"/>
    <w:uiPriority w:val="9"/>
    <w:semiHidden/>
    <w:rsid w:val="00FD098A"/>
    <w:rPr>
      <w:rFonts w:ascii="Arial" w:eastAsia="Times New Roman" w:hAnsi="Arial"/>
      <w:b/>
      <w:bCs/>
      <w:color w:val="00553D"/>
      <w:sz w:val="26"/>
      <w:szCs w:val="26"/>
      <w:lang w:eastAsia="en-US"/>
    </w:rPr>
  </w:style>
  <w:style w:type="character" w:customStyle="1" w:styleId="Heading3Char">
    <w:name w:val="Heading 3 Char"/>
    <w:link w:val="Heading3"/>
    <w:rsid w:val="00FD098A"/>
    <w:rPr>
      <w:rFonts w:ascii="Arial" w:eastAsia="Times New Roman" w:hAnsi="Arial"/>
      <w:b/>
      <w:bCs/>
      <w:color w:val="00553D"/>
      <w:sz w:val="22"/>
      <w:szCs w:val="22"/>
      <w:lang w:eastAsia="en-US"/>
    </w:rPr>
  </w:style>
  <w:style w:type="paragraph" w:styleId="ListParagraph">
    <w:name w:val="List Paragraph"/>
    <w:basedOn w:val="BodyText"/>
    <w:uiPriority w:val="34"/>
    <w:semiHidden/>
    <w:rsid w:val="00CF754F"/>
    <w:pPr>
      <w:spacing w:before="120" w:line="480" w:lineRule="auto"/>
      <w:ind w:left="720"/>
      <w:contextualSpacing/>
    </w:pPr>
  </w:style>
  <w:style w:type="paragraph" w:styleId="BalloonText">
    <w:name w:val="Balloon Text"/>
    <w:basedOn w:val="Normal"/>
    <w:link w:val="BalloonTextChar"/>
    <w:uiPriority w:val="99"/>
    <w:semiHidden/>
    <w:rsid w:val="001944C1"/>
    <w:rPr>
      <w:rFonts w:ascii="Tahoma" w:hAnsi="Tahoma" w:cs="Tahoma"/>
      <w:sz w:val="16"/>
      <w:szCs w:val="16"/>
    </w:rPr>
  </w:style>
  <w:style w:type="character" w:customStyle="1" w:styleId="BalloonTextChar">
    <w:name w:val="Balloon Text Char"/>
    <w:link w:val="BalloonText"/>
    <w:uiPriority w:val="99"/>
    <w:semiHidden/>
    <w:rsid w:val="00FD098A"/>
    <w:rPr>
      <w:rFonts w:ascii="Tahoma" w:hAnsi="Tahoma" w:cs="Tahoma"/>
      <w:sz w:val="16"/>
      <w:szCs w:val="16"/>
      <w:lang w:eastAsia="en-US"/>
    </w:rPr>
  </w:style>
  <w:style w:type="paragraph" w:customStyle="1" w:styleId="Headingcontents">
    <w:name w:val="Heading (contents)"/>
    <w:basedOn w:val="Normal"/>
    <w:qFormat/>
    <w:rsid w:val="00CF4E71"/>
    <w:pPr>
      <w:spacing w:after="360"/>
    </w:pPr>
    <w:rPr>
      <w:b/>
      <w:color w:val="00553D"/>
      <w:sz w:val="40"/>
    </w:rPr>
  </w:style>
  <w:style w:type="paragraph" w:styleId="TOC1">
    <w:name w:val="toc 1"/>
    <w:basedOn w:val="BodyText"/>
    <w:next w:val="BodyText"/>
    <w:autoRedefine/>
    <w:uiPriority w:val="39"/>
    <w:unhideWhenUsed/>
    <w:rsid w:val="00801FF3"/>
    <w:pPr>
      <w:tabs>
        <w:tab w:val="right" w:leader="dot" w:pos="9435"/>
      </w:tabs>
      <w:spacing w:after="60"/>
    </w:pPr>
    <w:rPr>
      <w:b/>
      <w:sz w:val="24"/>
    </w:rPr>
  </w:style>
  <w:style w:type="paragraph" w:styleId="TOC2">
    <w:name w:val="toc 2"/>
    <w:basedOn w:val="BodyText"/>
    <w:next w:val="BodyText"/>
    <w:autoRedefine/>
    <w:uiPriority w:val="39"/>
    <w:unhideWhenUsed/>
    <w:rsid w:val="00801FF3"/>
    <w:pPr>
      <w:tabs>
        <w:tab w:val="right" w:leader="dot" w:pos="9435"/>
      </w:tabs>
      <w:spacing w:after="60"/>
      <w:ind w:left="221"/>
    </w:pPr>
  </w:style>
  <w:style w:type="paragraph" w:styleId="TOC3">
    <w:name w:val="toc 3"/>
    <w:basedOn w:val="BodyText"/>
    <w:next w:val="BodyText"/>
    <w:autoRedefine/>
    <w:uiPriority w:val="39"/>
    <w:unhideWhenUsed/>
    <w:rsid w:val="00801FF3"/>
    <w:pPr>
      <w:tabs>
        <w:tab w:val="right" w:leader="dot" w:pos="9435"/>
      </w:tabs>
      <w:spacing w:after="60"/>
      <w:ind w:left="442"/>
    </w:pPr>
  </w:style>
  <w:style w:type="character" w:styleId="Hyperlink">
    <w:name w:val="Hyperlink"/>
    <w:uiPriority w:val="99"/>
    <w:rsid w:val="00CF754F"/>
    <w:rPr>
      <w:b w:val="0"/>
      <w:color w:val="0000FF"/>
      <w:u w:val="single"/>
    </w:rPr>
  </w:style>
  <w:style w:type="character" w:customStyle="1" w:styleId="Heading4Char">
    <w:name w:val="Heading 4 Char"/>
    <w:link w:val="Heading4"/>
    <w:rsid w:val="00FD098A"/>
    <w:rPr>
      <w:rFonts w:ascii="Arial" w:eastAsia="Times New Roman" w:hAnsi="Arial"/>
      <w:b/>
      <w:bCs/>
      <w:i/>
      <w:iCs/>
      <w:color w:val="00553D"/>
      <w:sz w:val="22"/>
      <w:szCs w:val="22"/>
      <w:lang w:eastAsia="en-US"/>
    </w:rPr>
  </w:style>
  <w:style w:type="paragraph" w:customStyle="1" w:styleId="Blankpagenote">
    <w:name w:val="Blank page note"/>
    <w:basedOn w:val="BodyText"/>
    <w:link w:val="BlankpagenoteChar"/>
    <w:uiPriority w:val="2"/>
    <w:rsid w:val="00FE38C8"/>
    <w:pPr>
      <w:spacing w:before="6521"/>
      <w:jc w:val="center"/>
    </w:pPr>
  </w:style>
  <w:style w:type="paragraph" w:customStyle="1" w:styleId="Heading1numbered">
    <w:name w:val="Heading 1 (numbered)"/>
    <w:basedOn w:val="Heading1"/>
    <w:next w:val="BodyText"/>
    <w:qFormat/>
    <w:rsid w:val="00280BE4"/>
  </w:style>
  <w:style w:type="paragraph" w:customStyle="1" w:styleId="Heading2numbered">
    <w:name w:val="Heading 2 (numbered)"/>
    <w:basedOn w:val="Heading2"/>
    <w:next w:val="BodyText"/>
    <w:qFormat/>
    <w:rsid w:val="00675FC6"/>
  </w:style>
  <w:style w:type="paragraph" w:customStyle="1" w:styleId="Heading3numbered">
    <w:name w:val="Heading 3 (numbered)"/>
    <w:basedOn w:val="Heading3"/>
    <w:next w:val="BodyText"/>
    <w:semiHidden/>
    <w:rsid w:val="003C7933"/>
    <w:pPr>
      <w:numPr>
        <w:ilvl w:val="2"/>
        <w:numId w:val="1"/>
      </w:numPr>
    </w:pPr>
  </w:style>
  <w:style w:type="paragraph" w:customStyle="1" w:styleId="Heading4numbered">
    <w:name w:val="Heading 4 (numbered)"/>
    <w:basedOn w:val="Heading4"/>
    <w:next w:val="BodyText"/>
    <w:semiHidden/>
    <w:rsid w:val="003C7933"/>
    <w:pPr>
      <w:numPr>
        <w:ilvl w:val="3"/>
        <w:numId w:val="1"/>
      </w:numPr>
    </w:pPr>
  </w:style>
  <w:style w:type="character" w:customStyle="1" w:styleId="Heading5Char">
    <w:name w:val="Heading 5 Char"/>
    <w:link w:val="Heading5"/>
    <w:uiPriority w:val="9"/>
    <w:semiHidden/>
    <w:rsid w:val="00FD098A"/>
    <w:rPr>
      <w:rFonts w:ascii="Cambria" w:eastAsia="Times New Roman" w:hAnsi="Cambria"/>
      <w:color w:val="243F60"/>
      <w:sz w:val="22"/>
      <w:szCs w:val="22"/>
      <w:lang w:eastAsia="en-US"/>
    </w:rPr>
  </w:style>
  <w:style w:type="character" w:customStyle="1" w:styleId="Heading6Char">
    <w:name w:val="Heading 6 Char"/>
    <w:link w:val="Heading6"/>
    <w:uiPriority w:val="9"/>
    <w:semiHidden/>
    <w:rsid w:val="00755FF4"/>
    <w:rPr>
      <w:rFonts w:ascii="Cambria" w:eastAsia="Times New Roman" w:hAnsi="Cambria"/>
      <w:i/>
      <w:iCs/>
      <w:color w:val="243F60"/>
      <w:sz w:val="22"/>
      <w:szCs w:val="22"/>
      <w:lang w:eastAsia="en-US"/>
    </w:rPr>
  </w:style>
  <w:style w:type="character" w:customStyle="1" w:styleId="Heading7Char">
    <w:name w:val="Heading 7 Char"/>
    <w:link w:val="Heading7"/>
    <w:uiPriority w:val="9"/>
    <w:semiHidden/>
    <w:rsid w:val="00755FF4"/>
    <w:rPr>
      <w:rFonts w:ascii="Cambria" w:eastAsia="Times New Roman" w:hAnsi="Cambria"/>
      <w:i/>
      <w:iCs/>
      <w:color w:val="404040"/>
      <w:sz w:val="22"/>
      <w:szCs w:val="22"/>
      <w:lang w:eastAsia="en-US"/>
    </w:rPr>
  </w:style>
  <w:style w:type="character" w:customStyle="1" w:styleId="Heading8Char">
    <w:name w:val="Heading 8 Char"/>
    <w:link w:val="Heading8"/>
    <w:uiPriority w:val="9"/>
    <w:semiHidden/>
    <w:rsid w:val="00755FF4"/>
    <w:rPr>
      <w:rFonts w:ascii="Cambria" w:eastAsia="Times New Roman" w:hAnsi="Cambria"/>
      <w:color w:val="404040"/>
      <w:lang w:eastAsia="en-US"/>
    </w:rPr>
  </w:style>
  <w:style w:type="character" w:customStyle="1" w:styleId="Heading9Char">
    <w:name w:val="Heading 9 Char"/>
    <w:link w:val="Heading9"/>
    <w:uiPriority w:val="9"/>
    <w:semiHidden/>
    <w:rsid w:val="00755FF4"/>
    <w:rPr>
      <w:rFonts w:ascii="Cambria" w:eastAsia="Times New Roman" w:hAnsi="Cambria"/>
      <w:i/>
      <w:iCs/>
      <w:color w:val="404040"/>
      <w:lang w:eastAsia="en-US"/>
    </w:rPr>
  </w:style>
  <w:style w:type="paragraph" w:styleId="BodyText">
    <w:name w:val="Body Text"/>
    <w:link w:val="BodyTextChar"/>
    <w:qFormat/>
    <w:rsid w:val="007712A8"/>
    <w:pPr>
      <w:spacing w:after="120" w:line="360" w:lineRule="auto"/>
    </w:pPr>
    <w:rPr>
      <w:rFonts w:ascii="Century Gothic" w:hAnsi="Century Gothic" w:cs="Arial"/>
      <w:sz w:val="22"/>
      <w:szCs w:val="22"/>
      <w:lang w:eastAsia="en-US"/>
    </w:rPr>
  </w:style>
  <w:style w:type="paragraph" w:styleId="Title">
    <w:name w:val="Title"/>
    <w:basedOn w:val="BodyText"/>
    <w:next w:val="Normal"/>
    <w:link w:val="TitleChar"/>
    <w:uiPriority w:val="2"/>
    <w:rsid w:val="009B6635"/>
    <w:pPr>
      <w:spacing w:after="300" w:line="240" w:lineRule="auto"/>
      <w:contextualSpacing/>
    </w:pPr>
    <w:rPr>
      <w:rFonts w:eastAsia="Times New Roman"/>
      <w:b/>
      <w:spacing w:val="5"/>
      <w:kern w:val="28"/>
      <w:sz w:val="72"/>
      <w:szCs w:val="52"/>
    </w:rPr>
  </w:style>
  <w:style w:type="character" w:customStyle="1" w:styleId="TitleChar">
    <w:name w:val="Title Char"/>
    <w:link w:val="Title"/>
    <w:uiPriority w:val="2"/>
    <w:rsid w:val="00FD098A"/>
    <w:rPr>
      <w:rFonts w:ascii="Arial" w:eastAsia="Times New Roman" w:hAnsi="Arial" w:cs="Arial"/>
      <w:b/>
      <w:spacing w:val="5"/>
      <w:kern w:val="28"/>
      <w:sz w:val="72"/>
      <w:szCs w:val="52"/>
      <w:lang w:eastAsia="en-US"/>
    </w:rPr>
  </w:style>
  <w:style w:type="table" w:styleId="TableGrid">
    <w:name w:val="Table Grid"/>
    <w:basedOn w:val="TableNormal"/>
    <w:uiPriority w:val="59"/>
    <w:rsid w:val="00814F2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Basictable">
    <w:name w:val="Basic table"/>
    <w:basedOn w:val="TableGrid"/>
    <w:uiPriority w:val="99"/>
    <w:rsid w:val="00ED3D63"/>
    <w:pPr>
      <w:spacing w:before="120" w:after="120"/>
    </w:pPr>
    <w:rPr>
      <w:rFonts w:ascii="Arial" w:hAnsi="Arial"/>
    </w:rPr>
    <w:tblPr>
      <w:tblStyleRowBandSize w:val="1"/>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Pr>
    <w:trPr>
      <w:cantSplit/>
    </w:trPr>
    <w:tcPr>
      <w:vAlign w:val="center"/>
    </w:tcPr>
    <w:tblStylePr w:type="firstRow">
      <w:pPr>
        <w:jc w:val="left"/>
      </w:pPr>
      <w:rPr>
        <w:rFonts w:ascii="Arial" w:hAnsi="Arial"/>
        <w:b w:val="0"/>
        <w:bCs/>
        <w:color w:val="00553D"/>
        <w:sz w:val="22"/>
      </w:rPr>
      <w:tblPr/>
      <w:tcPr>
        <w:tcBorders>
          <w:top w:val="single" w:sz="8" w:space="0" w:color="auto"/>
          <w:left w:val="nil"/>
          <w:bottom w:val="single" w:sz="8" w:space="0" w:color="auto"/>
          <w:right w:val="nil"/>
          <w:insideH w:val="nil"/>
          <w:insideV w:val="nil"/>
        </w:tcBorders>
        <w:shd w:val="clear" w:color="auto" w:fill="auto"/>
      </w:tcPr>
    </w:tblStylePr>
    <w:tblStylePr w:type="band1Horz">
      <w:pPr>
        <w:jc w:val="left"/>
      </w:pPr>
      <w:tblPr/>
      <w:tcPr>
        <w:tcBorders>
          <w:top w:val="nil"/>
          <w:left w:val="nil"/>
          <w:bottom w:val="nil"/>
          <w:right w:val="nil"/>
          <w:insideH w:val="nil"/>
          <w:insideV w:val="nil"/>
          <w:tl2br w:val="nil"/>
          <w:tr2bl w:val="nil"/>
        </w:tcBorders>
        <w:shd w:val="clear" w:color="auto" w:fill="E5EEE1"/>
      </w:tcPr>
    </w:tblStylePr>
  </w:style>
  <w:style w:type="paragraph" w:customStyle="1" w:styleId="Tabletext">
    <w:name w:val="Table text"/>
    <w:basedOn w:val="BodyText"/>
    <w:qFormat/>
    <w:rsid w:val="00DD0214"/>
    <w:pPr>
      <w:spacing w:before="120" w:line="240" w:lineRule="auto"/>
    </w:pPr>
  </w:style>
  <w:style w:type="paragraph" w:customStyle="1" w:styleId="Tableheading">
    <w:name w:val="Table heading"/>
    <w:basedOn w:val="Tabletext"/>
    <w:next w:val="Tabletext"/>
    <w:qFormat/>
    <w:rsid w:val="00E12145"/>
    <w:rPr>
      <w:b/>
      <w:i/>
      <w:color w:val="00553D"/>
    </w:rPr>
  </w:style>
  <w:style w:type="table" w:styleId="LightShading-Accent1">
    <w:name w:val="Light Shading Accent 1"/>
    <w:basedOn w:val="TableNormal"/>
    <w:uiPriority w:val="60"/>
    <w:rsid w:val="00702F3E"/>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Professional">
    <w:name w:val="Table Professional"/>
    <w:basedOn w:val="TableNormal"/>
    <w:uiPriority w:val="99"/>
    <w:semiHidden/>
    <w:unhideWhenUsed/>
    <w:rsid w:val="00702F3E"/>
    <w:pPr>
      <w:spacing w:after="120" w:line="36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LightShading">
    <w:name w:val="Light Shading"/>
    <w:basedOn w:val="TableNormal"/>
    <w:uiPriority w:val="60"/>
    <w:rsid w:val="00702F3E"/>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TableTheme">
    <w:name w:val="Table Theme"/>
    <w:basedOn w:val="TableNormal"/>
    <w:uiPriority w:val="99"/>
    <w:semiHidden/>
    <w:unhideWhenUsed/>
    <w:rsid w:val="00A947A7"/>
    <w:pPr>
      <w:spacing w:after="120" w:line="36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BodyText"/>
    <w:next w:val="BodyText"/>
    <w:link w:val="SubtitleChar"/>
    <w:uiPriority w:val="2"/>
    <w:rsid w:val="00B13D44"/>
    <w:rPr>
      <w:b/>
      <w:i/>
      <w:sz w:val="32"/>
    </w:rPr>
  </w:style>
  <w:style w:type="character" w:customStyle="1" w:styleId="SubtitleChar">
    <w:name w:val="Subtitle Char"/>
    <w:link w:val="Subtitle"/>
    <w:uiPriority w:val="2"/>
    <w:rsid w:val="00FD098A"/>
    <w:rPr>
      <w:rFonts w:ascii="Arial" w:hAnsi="Arial" w:cs="Arial"/>
      <w:b/>
      <w:i/>
      <w:sz w:val="32"/>
      <w:szCs w:val="22"/>
      <w:lang w:eastAsia="en-US"/>
    </w:rPr>
  </w:style>
  <w:style w:type="character" w:customStyle="1" w:styleId="BodyTextChar">
    <w:name w:val="Body Text Char"/>
    <w:link w:val="BodyText"/>
    <w:rsid w:val="007712A8"/>
    <w:rPr>
      <w:rFonts w:ascii="Century Gothic" w:hAnsi="Century Gothic" w:cs="Arial"/>
      <w:sz w:val="22"/>
      <w:szCs w:val="22"/>
      <w:lang w:eastAsia="en-US"/>
    </w:rPr>
  </w:style>
  <w:style w:type="character" w:styleId="CommentReference">
    <w:name w:val="annotation reference"/>
    <w:uiPriority w:val="99"/>
    <w:semiHidden/>
    <w:rsid w:val="00A711F5"/>
    <w:rPr>
      <w:sz w:val="16"/>
      <w:szCs w:val="16"/>
    </w:rPr>
  </w:style>
  <w:style w:type="paragraph" w:styleId="CommentText">
    <w:name w:val="annotation text"/>
    <w:basedOn w:val="Normal"/>
    <w:link w:val="CommentTextChar"/>
    <w:uiPriority w:val="99"/>
    <w:semiHidden/>
    <w:rsid w:val="00A711F5"/>
    <w:rPr>
      <w:rFonts w:ascii="Calibri" w:hAnsi="Calibri" w:cs="Times New Roman"/>
      <w:sz w:val="20"/>
      <w:szCs w:val="20"/>
    </w:rPr>
  </w:style>
  <w:style w:type="character" w:customStyle="1" w:styleId="CommentTextChar">
    <w:name w:val="Comment Text Char"/>
    <w:link w:val="CommentText"/>
    <w:uiPriority w:val="99"/>
    <w:semiHidden/>
    <w:rsid w:val="00FD098A"/>
    <w:rPr>
      <w:lang w:eastAsia="en-US"/>
    </w:rPr>
  </w:style>
  <w:style w:type="paragraph" w:customStyle="1" w:styleId="Sub-Bullet">
    <w:name w:val="Sub-Bullet"/>
    <w:basedOn w:val="Normal"/>
    <w:semiHidden/>
    <w:rsid w:val="00502B3A"/>
    <w:pPr>
      <w:tabs>
        <w:tab w:val="left" w:pos="1418"/>
      </w:tabs>
      <w:spacing w:before="120" w:after="120" w:line="360" w:lineRule="auto"/>
      <w:ind w:left="1418" w:right="261" w:hanging="425"/>
      <w:contextualSpacing/>
    </w:pPr>
    <w:rPr>
      <w:rFonts w:ascii="ITC Stone Sans Std Medium" w:hAnsi="ITC Stone Sans Std Medium" w:cs="Tahoma"/>
      <w:sz w:val="21"/>
    </w:rPr>
  </w:style>
  <w:style w:type="table" w:styleId="MediumList1-Accent2">
    <w:name w:val="Medium List 1 Accent 2"/>
    <w:basedOn w:val="TableNormal"/>
    <w:uiPriority w:val="65"/>
    <w:rsid w:val="00E46925"/>
    <w:rPr>
      <w:color w:val="000000"/>
    </w:rPr>
    <w:tblPr>
      <w:tblStyleRowBandSize w:val="1"/>
      <w:tblStyleColBandSize w:val="1"/>
      <w:tblBorders>
        <w:top w:val="single" w:sz="8" w:space="0" w:color="C0504D"/>
        <w:bottom w:val="single" w:sz="8" w:space="0" w:color="C0504D"/>
      </w:tblBorders>
    </w:tblPr>
    <w:tblStylePr w:type="firstRow">
      <w:rPr>
        <w:rFonts w:ascii="DengXian" w:eastAsia="Times New Roman" w:hAnsi="DengXian" w:cs="Times New Roman"/>
      </w:rPr>
      <w:tblPr/>
      <w:tcPr>
        <w:tcBorders>
          <w:top w:val="nil"/>
          <w:bottom w:val="single" w:sz="8" w:space="0" w:color="C0504D"/>
        </w:tcBorders>
      </w:tcPr>
    </w:tblStylePr>
    <w:tblStylePr w:type="lastRow">
      <w:rPr>
        <w:b/>
        <w:bCs/>
        <w:color w:val="1F497D"/>
      </w:rPr>
      <w:tblPr/>
      <w:tcPr>
        <w:tcBorders>
          <w:top w:val="single" w:sz="8" w:space="0" w:color="C0504D"/>
          <w:bottom w:val="single" w:sz="8" w:space="0" w:color="C0504D"/>
        </w:tcBorders>
      </w:tcPr>
    </w:tblStylePr>
    <w:tblStylePr w:type="firstCol">
      <w:rPr>
        <w:b/>
        <w:bCs/>
      </w:rPr>
    </w:tblStylePr>
    <w:tblStylePr w:type="lastCol">
      <w:rPr>
        <w:b/>
        <w:bCs/>
      </w:rPr>
      <w:tblPr/>
      <w:tcPr>
        <w:tcBorders>
          <w:top w:val="single" w:sz="8" w:space="0" w:color="C0504D"/>
          <w:bottom w:val="single" w:sz="8" w:space="0" w:color="C0504D"/>
        </w:tcBorders>
      </w:tcPr>
    </w:tblStylePr>
    <w:tblStylePr w:type="band1Vert">
      <w:tblPr/>
      <w:tcPr>
        <w:shd w:val="clear" w:color="auto" w:fill="EFD3D2"/>
      </w:tcPr>
    </w:tblStylePr>
    <w:tblStylePr w:type="band1Horz">
      <w:tblPr/>
      <w:tcPr>
        <w:shd w:val="clear" w:color="auto" w:fill="EFD3D2"/>
      </w:tcPr>
    </w:tblStylePr>
  </w:style>
  <w:style w:type="table" w:styleId="MediumShading1-Accent6">
    <w:name w:val="Medium Shading 1 Accent 6"/>
    <w:basedOn w:val="TableNormal"/>
    <w:uiPriority w:val="63"/>
    <w:rsid w:val="00E46925"/>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MediumList1-Accent6">
    <w:name w:val="Medium List 1 Accent 6"/>
    <w:basedOn w:val="TableNormal"/>
    <w:uiPriority w:val="65"/>
    <w:rsid w:val="00E46925"/>
    <w:rPr>
      <w:color w:val="000000"/>
    </w:rPr>
    <w:tblPr>
      <w:tblStyleRowBandSize w:val="1"/>
      <w:tblStyleColBandSize w:val="1"/>
      <w:tblBorders>
        <w:top w:val="single" w:sz="8" w:space="0" w:color="F79646"/>
        <w:bottom w:val="single" w:sz="8" w:space="0" w:color="F79646"/>
      </w:tblBorders>
    </w:tblPr>
    <w:tblStylePr w:type="firstRow">
      <w:rPr>
        <w:rFonts w:ascii="DengXian" w:eastAsia="Times New Roman" w:hAnsi="DengXian" w:cs="Times New Roman"/>
      </w:rPr>
      <w:tblPr/>
      <w:tcPr>
        <w:tcBorders>
          <w:top w:val="nil"/>
          <w:bottom w:val="single" w:sz="8" w:space="0" w:color="F79646"/>
        </w:tcBorders>
      </w:tcPr>
    </w:tblStylePr>
    <w:tblStylePr w:type="lastRow">
      <w:rPr>
        <w:b/>
        <w:bCs/>
        <w:color w:val="1F497D"/>
      </w:rPr>
      <w:tblPr/>
      <w:tcPr>
        <w:tcBorders>
          <w:top w:val="single" w:sz="8" w:space="0" w:color="F79646"/>
          <w:bottom w:val="single" w:sz="8" w:space="0" w:color="F79646"/>
        </w:tcBorders>
      </w:tcPr>
    </w:tblStylePr>
    <w:tblStylePr w:type="firstCol">
      <w:rPr>
        <w:b/>
        <w:bCs/>
      </w:rPr>
    </w:tblStylePr>
    <w:tblStylePr w:type="lastCol">
      <w:rPr>
        <w:b/>
        <w:bCs/>
      </w:rPr>
      <w:tblPr/>
      <w:tcPr>
        <w:tcBorders>
          <w:top w:val="single" w:sz="8" w:space="0" w:color="F79646"/>
          <w:bottom w:val="single" w:sz="8" w:space="0" w:color="F79646"/>
        </w:tcBorders>
      </w:tcPr>
    </w:tblStylePr>
    <w:tblStylePr w:type="band1Vert">
      <w:tblPr/>
      <w:tcPr>
        <w:shd w:val="clear" w:color="auto" w:fill="FDE4D0"/>
      </w:tcPr>
    </w:tblStylePr>
    <w:tblStylePr w:type="band1Horz">
      <w:tblPr/>
      <w:tcPr>
        <w:shd w:val="clear" w:color="auto" w:fill="FDE4D0"/>
      </w:tcPr>
    </w:tblStylePr>
  </w:style>
  <w:style w:type="table" w:styleId="LightShading-Accent2">
    <w:name w:val="Light Shading Accent 2"/>
    <w:basedOn w:val="TableNormal"/>
    <w:uiPriority w:val="60"/>
    <w:rsid w:val="00506F44"/>
    <w:rPr>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LightShading-Accent3">
    <w:name w:val="Light Shading Accent 3"/>
    <w:basedOn w:val="TableNormal"/>
    <w:uiPriority w:val="60"/>
    <w:rsid w:val="00506F44"/>
    <w:rPr>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styleId="LightShading-Accent5">
    <w:name w:val="Light Shading Accent 5"/>
    <w:basedOn w:val="TableNormal"/>
    <w:uiPriority w:val="60"/>
    <w:rsid w:val="00506F44"/>
    <w:rPr>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LightShading-Accent6">
    <w:name w:val="Light Shading Accent 6"/>
    <w:basedOn w:val="TableNormal"/>
    <w:uiPriority w:val="60"/>
    <w:rsid w:val="00506F44"/>
    <w:rPr>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LightList">
    <w:name w:val="Light List"/>
    <w:basedOn w:val="TableNormal"/>
    <w:uiPriority w:val="61"/>
    <w:rsid w:val="00506F44"/>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1">
    <w:name w:val="Light List Accent 1"/>
    <w:basedOn w:val="TableNormal"/>
    <w:uiPriority w:val="61"/>
    <w:rsid w:val="00506F44"/>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ColorfulList-Accent5">
    <w:name w:val="Colorful List Accent 5"/>
    <w:basedOn w:val="TableNormal"/>
    <w:uiPriority w:val="72"/>
    <w:rsid w:val="00506F44"/>
    <w:rPr>
      <w:color w:val="000000"/>
    </w:rPr>
    <w:tblPr>
      <w:tblStyleRowBandSize w:val="1"/>
      <w:tblStyleColBandSize w:val="1"/>
    </w:tblPr>
    <w:tcPr>
      <w:shd w:val="clear" w:color="auto" w:fill="EDF6F9"/>
    </w:tcPr>
    <w:tblStylePr w:type="firstRow">
      <w:rPr>
        <w:b/>
        <w:bCs/>
        <w:color w:val="FFFFFF"/>
      </w:rPr>
      <w:tblPr/>
      <w:tcPr>
        <w:tcBorders>
          <w:bottom w:val="single" w:sz="12" w:space="0" w:color="FFFFFF"/>
        </w:tcBorders>
        <w:shd w:val="clear" w:color="auto" w:fill="F2730A"/>
      </w:tcPr>
    </w:tblStylePr>
    <w:tblStylePr w:type="lastRow">
      <w:rPr>
        <w:b/>
        <w:bCs/>
        <w:color w:val="F2730A"/>
      </w:rPr>
      <w:tblPr/>
      <w:tcPr>
        <w:tcBorders>
          <w:top w:val="single" w:sz="12" w:space="0" w:color="000000"/>
        </w:tcBorders>
        <w:shd w:val="clear" w:color="auto" w:fill="FFFFFF"/>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cPr>
    </w:tblStylePr>
    <w:tblStylePr w:type="band1Horz">
      <w:tblPr/>
      <w:tcPr>
        <w:shd w:val="clear" w:color="auto" w:fill="DAEEF3"/>
      </w:tcPr>
    </w:tblStylePr>
  </w:style>
  <w:style w:type="paragraph" w:customStyle="1" w:styleId="DiagramCaption">
    <w:name w:val="Diagram Caption"/>
    <w:basedOn w:val="BodyText"/>
    <w:uiPriority w:val="1"/>
    <w:qFormat/>
    <w:rsid w:val="005B0BCF"/>
    <w:rPr>
      <w:b/>
      <w:i/>
    </w:rPr>
  </w:style>
  <w:style w:type="paragraph" w:customStyle="1" w:styleId="Heading2noTOC">
    <w:name w:val="Heading 2 no TOC"/>
    <w:basedOn w:val="Heading2"/>
    <w:uiPriority w:val="7"/>
    <w:rsid w:val="006845EE"/>
    <w:pPr>
      <w:outlineLvl w:val="9"/>
    </w:pPr>
  </w:style>
  <w:style w:type="paragraph" w:customStyle="1" w:styleId="Webnormaltext">
    <w:name w:val="Web normal text"/>
    <w:basedOn w:val="Normal"/>
    <w:semiHidden/>
    <w:rsid w:val="00F56171"/>
    <w:pPr>
      <w:spacing w:after="120"/>
      <w:ind w:left="567"/>
    </w:pPr>
    <w:rPr>
      <w:rFonts w:cs="Times New Roman"/>
    </w:rPr>
  </w:style>
  <w:style w:type="paragraph" w:styleId="CommentSubject">
    <w:name w:val="annotation subject"/>
    <w:basedOn w:val="CommentText"/>
    <w:next w:val="CommentText"/>
    <w:link w:val="CommentSubjectChar"/>
    <w:uiPriority w:val="99"/>
    <w:semiHidden/>
    <w:rsid w:val="00540E47"/>
    <w:rPr>
      <w:rFonts w:ascii="Arial" w:hAnsi="Arial" w:cs="Arial"/>
      <w:b/>
      <w:bCs/>
    </w:rPr>
  </w:style>
  <w:style w:type="character" w:customStyle="1" w:styleId="CommentSubjectChar">
    <w:name w:val="Comment Subject Char"/>
    <w:link w:val="CommentSubject"/>
    <w:uiPriority w:val="99"/>
    <w:semiHidden/>
    <w:rsid w:val="00FD098A"/>
    <w:rPr>
      <w:rFonts w:ascii="Arial" w:hAnsi="Arial" w:cs="Arial"/>
      <w:b/>
      <w:bCs/>
      <w:lang w:eastAsia="en-US"/>
    </w:rPr>
  </w:style>
  <w:style w:type="paragraph" w:customStyle="1" w:styleId="Shadedinsetbox">
    <w:name w:val="Shaded inset box"/>
    <w:basedOn w:val="BodyText"/>
    <w:link w:val="ShadedinsetboxChar"/>
    <w:uiPriority w:val="2"/>
    <w:rsid w:val="003E2847"/>
    <w:pPr>
      <w:pBdr>
        <w:top w:val="single" w:sz="24" w:space="1" w:color="E5EEEB"/>
        <w:left w:val="single" w:sz="24" w:space="4" w:color="E5EEEB"/>
        <w:bottom w:val="single" w:sz="24" w:space="1" w:color="E5EEEB"/>
      </w:pBdr>
      <w:shd w:val="clear" w:color="auto" w:fill="E5EEE1"/>
      <w:ind w:left="720"/>
    </w:pPr>
  </w:style>
  <w:style w:type="character" w:styleId="FollowedHyperlink">
    <w:name w:val="FollowedHyperlink"/>
    <w:uiPriority w:val="99"/>
    <w:semiHidden/>
    <w:rsid w:val="0006125C"/>
    <w:rPr>
      <w:color w:val="800080"/>
      <w:u w:val="single"/>
    </w:rPr>
  </w:style>
  <w:style w:type="character" w:customStyle="1" w:styleId="ShadedinsetboxChar">
    <w:name w:val="Shaded inset box Char"/>
    <w:link w:val="Shadedinsetbox"/>
    <w:uiPriority w:val="2"/>
    <w:rsid w:val="00FD098A"/>
    <w:rPr>
      <w:rFonts w:ascii="Arial" w:hAnsi="Arial" w:cs="Arial"/>
      <w:sz w:val="22"/>
      <w:szCs w:val="22"/>
      <w:shd w:val="clear" w:color="auto" w:fill="E5EEE1"/>
      <w:lang w:eastAsia="en-US"/>
    </w:rPr>
  </w:style>
  <w:style w:type="paragraph" w:customStyle="1" w:styleId="BackPageBox">
    <w:name w:val="Back Page Box"/>
    <w:basedOn w:val="Blankpagenote"/>
    <w:link w:val="BackPageBoxChar"/>
    <w:uiPriority w:val="2"/>
    <w:rsid w:val="002E2535"/>
    <w:pPr>
      <w:pBdr>
        <w:top w:val="single" w:sz="24" w:space="2" w:color="E5EEEB"/>
        <w:left w:val="single" w:sz="24" w:space="4" w:color="E5EEEB"/>
        <w:bottom w:val="single" w:sz="24" w:space="1" w:color="E5EEEB"/>
        <w:right w:val="single" w:sz="24" w:space="4" w:color="E5EEEB"/>
      </w:pBdr>
      <w:shd w:val="clear" w:color="auto" w:fill="E5EEE1"/>
      <w:spacing w:before="9000"/>
      <w:ind w:left="2268" w:right="2268"/>
    </w:pPr>
  </w:style>
  <w:style w:type="character" w:customStyle="1" w:styleId="BlankpagenoteChar">
    <w:name w:val="Blank page note Char"/>
    <w:link w:val="Blankpagenote"/>
    <w:uiPriority w:val="2"/>
    <w:rsid w:val="00FD098A"/>
    <w:rPr>
      <w:rFonts w:ascii="Arial" w:hAnsi="Arial" w:cs="Arial"/>
      <w:sz w:val="22"/>
      <w:szCs w:val="22"/>
      <w:lang w:eastAsia="en-US"/>
    </w:rPr>
  </w:style>
  <w:style w:type="character" w:customStyle="1" w:styleId="BackPageBoxChar">
    <w:name w:val="Back Page Box Char"/>
    <w:link w:val="BackPageBox"/>
    <w:uiPriority w:val="2"/>
    <w:rsid w:val="00FD098A"/>
    <w:rPr>
      <w:rFonts w:ascii="Arial" w:hAnsi="Arial" w:cs="Arial"/>
      <w:sz w:val="22"/>
      <w:szCs w:val="22"/>
      <w:shd w:val="clear" w:color="auto" w:fill="E5EEE1"/>
      <w:lang w:eastAsia="en-US"/>
    </w:rPr>
  </w:style>
  <w:style w:type="paragraph" w:styleId="FootnoteText">
    <w:name w:val="footnote text"/>
    <w:basedOn w:val="Normal"/>
    <w:link w:val="FootnoteTextChar"/>
    <w:uiPriority w:val="99"/>
    <w:semiHidden/>
    <w:rsid w:val="00AD6BCF"/>
    <w:rPr>
      <w:sz w:val="20"/>
      <w:szCs w:val="20"/>
    </w:rPr>
  </w:style>
  <w:style w:type="character" w:customStyle="1" w:styleId="FootnoteTextChar">
    <w:name w:val="Footnote Text Char"/>
    <w:link w:val="FootnoteText"/>
    <w:uiPriority w:val="99"/>
    <w:semiHidden/>
    <w:rsid w:val="00FD098A"/>
    <w:rPr>
      <w:rFonts w:ascii="Arial" w:hAnsi="Arial" w:cs="Arial"/>
      <w:lang w:eastAsia="en-US"/>
    </w:rPr>
  </w:style>
  <w:style w:type="character" w:styleId="FootnoteReference">
    <w:name w:val="footnote reference"/>
    <w:uiPriority w:val="99"/>
    <w:semiHidden/>
    <w:rsid w:val="00AD6BCF"/>
    <w:rPr>
      <w:vertAlign w:val="superscript"/>
    </w:rPr>
  </w:style>
  <w:style w:type="paragraph" w:styleId="Revision">
    <w:name w:val="Revision"/>
    <w:hidden/>
    <w:uiPriority w:val="99"/>
    <w:semiHidden/>
    <w:rsid w:val="009E6D4C"/>
    <w:rPr>
      <w:rFonts w:ascii="Arial" w:hAnsi="Arial" w:cs="Arial"/>
      <w:sz w:val="22"/>
      <w:szCs w:val="22"/>
      <w:lang w:eastAsia="en-US"/>
    </w:rPr>
  </w:style>
  <w:style w:type="table" w:styleId="ListTable2-Accent6">
    <w:name w:val="List Table 2 Accent 6"/>
    <w:basedOn w:val="TableNormal"/>
    <w:uiPriority w:val="47"/>
    <w:rsid w:val="00EF4ACB"/>
    <w:rPr>
      <w:rFonts w:ascii="Century Gothic" w:hAnsi="Century Gothic" w:cs="Arial"/>
      <w:sz w:val="22"/>
      <w:szCs w:val="22"/>
      <w:lang w:eastAsia="en-US"/>
    </w:rPr>
    <w:tblPr>
      <w:tblCellMar>
        <w:left w:w="0" w:type="dxa"/>
        <w:right w:w="0" w:type="dxa"/>
      </w:tblCellMar>
    </w:tblPr>
    <w:tblStylePr w:type="firstRow">
      <w:rPr>
        <w:b w:val="0"/>
        <w:bCs/>
      </w:rPr>
    </w:tblStylePr>
    <w:tblStylePr w:type="lastRow">
      <w:rPr>
        <w:b w:val="0"/>
        <w:bCs/>
      </w:rPr>
    </w:tblStylePr>
    <w:tblStylePr w:type="firstCol">
      <w:rPr>
        <w:b w:val="0"/>
        <w:bCs/>
      </w:rPr>
    </w:tblStylePr>
    <w:tblStylePr w:type="lastCol">
      <w:rPr>
        <w:b w:val="0"/>
        <w:bCs/>
      </w:rPr>
    </w:tblStylePr>
  </w:style>
  <w:style w:type="paragraph" w:customStyle="1" w:styleId="VECBackCover">
    <w:name w:val="VEC BackCover"/>
    <w:basedOn w:val="Normal"/>
    <w:semiHidden/>
    <w:qFormat/>
    <w:rsid w:val="00EF4ACB"/>
    <w:pPr>
      <w:spacing w:line="220" w:lineRule="atLeast"/>
    </w:pPr>
    <w:rPr>
      <w:rFonts w:ascii="Century Gothic" w:hAnsi="Century Gothic"/>
      <w:spacing w:val="2"/>
      <w:sz w:val="17"/>
    </w:rPr>
  </w:style>
  <w:style w:type="paragraph" w:styleId="TOC4">
    <w:name w:val="toc 4"/>
    <w:basedOn w:val="Normal"/>
    <w:next w:val="Normal"/>
    <w:autoRedefine/>
    <w:uiPriority w:val="39"/>
    <w:semiHidden/>
    <w:unhideWhenUsed/>
    <w:rsid w:val="00801FF3"/>
    <w:pPr>
      <w:ind w:left="660"/>
    </w:pPr>
    <w:rPr>
      <w:rFonts w:ascii="Century Gothic" w:hAnsi="Century Gothic"/>
    </w:rPr>
  </w:style>
  <w:style w:type="character" w:styleId="UnresolvedMention">
    <w:name w:val="Unresolved Mention"/>
    <w:basedOn w:val="DefaultParagraphFont"/>
    <w:uiPriority w:val="99"/>
    <w:semiHidden/>
    <w:unhideWhenUsed/>
    <w:rsid w:val="00263B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752892">
      <w:bodyDiv w:val="1"/>
      <w:marLeft w:val="0"/>
      <w:marRight w:val="0"/>
      <w:marTop w:val="0"/>
      <w:marBottom w:val="0"/>
      <w:divBdr>
        <w:top w:val="none" w:sz="0" w:space="0" w:color="auto"/>
        <w:left w:val="none" w:sz="0" w:space="0" w:color="auto"/>
        <w:bottom w:val="none" w:sz="0" w:space="0" w:color="auto"/>
        <w:right w:val="none" w:sz="0" w:space="0" w:color="auto"/>
      </w:divBdr>
      <w:divsChild>
        <w:div w:id="1692996333">
          <w:marLeft w:val="0"/>
          <w:marRight w:val="0"/>
          <w:marTop w:val="0"/>
          <w:marBottom w:val="0"/>
          <w:divBdr>
            <w:top w:val="none" w:sz="0" w:space="0" w:color="auto"/>
            <w:left w:val="none" w:sz="0" w:space="0" w:color="auto"/>
            <w:bottom w:val="none" w:sz="0" w:space="0" w:color="auto"/>
            <w:right w:val="none" w:sz="0" w:space="0" w:color="auto"/>
          </w:divBdr>
          <w:divsChild>
            <w:div w:id="150058005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94288423">
      <w:bodyDiv w:val="1"/>
      <w:marLeft w:val="0"/>
      <w:marRight w:val="0"/>
      <w:marTop w:val="0"/>
      <w:marBottom w:val="0"/>
      <w:divBdr>
        <w:top w:val="none" w:sz="0" w:space="0" w:color="auto"/>
        <w:left w:val="none" w:sz="0" w:space="0" w:color="auto"/>
        <w:bottom w:val="none" w:sz="0" w:space="0" w:color="auto"/>
        <w:right w:val="none" w:sz="0" w:space="0" w:color="auto"/>
      </w:divBdr>
    </w:div>
    <w:div w:id="1329165739">
      <w:bodyDiv w:val="1"/>
      <w:marLeft w:val="0"/>
      <w:marRight w:val="0"/>
      <w:marTop w:val="0"/>
      <w:marBottom w:val="0"/>
      <w:divBdr>
        <w:top w:val="none" w:sz="0" w:space="0" w:color="auto"/>
        <w:left w:val="none" w:sz="0" w:space="0" w:color="auto"/>
        <w:bottom w:val="none" w:sz="0" w:space="0" w:color="auto"/>
        <w:right w:val="none" w:sz="0" w:space="0" w:color="auto"/>
      </w:divBdr>
    </w:div>
    <w:div w:id="1741904415">
      <w:bodyDiv w:val="1"/>
      <w:marLeft w:val="0"/>
      <w:marRight w:val="0"/>
      <w:marTop w:val="0"/>
      <w:marBottom w:val="0"/>
      <w:divBdr>
        <w:top w:val="none" w:sz="0" w:space="0" w:color="auto"/>
        <w:left w:val="none" w:sz="0" w:space="0" w:color="auto"/>
        <w:bottom w:val="none" w:sz="0" w:space="0" w:color="auto"/>
        <w:right w:val="none" w:sz="0" w:space="0" w:color="auto"/>
      </w:divBdr>
    </w:div>
    <w:div w:id="1901402301">
      <w:bodyDiv w:val="1"/>
      <w:marLeft w:val="0"/>
      <w:marRight w:val="0"/>
      <w:marTop w:val="0"/>
      <w:marBottom w:val="0"/>
      <w:divBdr>
        <w:top w:val="none" w:sz="0" w:space="0" w:color="auto"/>
        <w:left w:val="none" w:sz="0" w:space="0" w:color="auto"/>
        <w:bottom w:val="none" w:sz="0" w:space="0" w:color="auto"/>
        <w:right w:val="none" w:sz="0" w:space="0" w:color="auto"/>
      </w:divBdr>
    </w:div>
    <w:div w:id="19604528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wmf"/><Relationship Id="rId18" Type="http://schemas.openxmlformats.org/officeDocument/2006/relationships/image" Target="media/image4.png"/><Relationship Id="rId26" Type="http://schemas.openxmlformats.org/officeDocument/2006/relationships/header" Target="header4.xml"/><Relationship Id="rId39" Type="http://schemas.openxmlformats.org/officeDocument/2006/relationships/header" Target="header10.xml"/><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header" Target="header7.xml"/><Relationship Id="rId42"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www.vec.vic.gov.au" TargetMode="External"/><Relationship Id="rId25" Type="http://schemas.openxmlformats.org/officeDocument/2006/relationships/header" Target="header3.xml"/><Relationship Id="rId33" Type="http://schemas.openxmlformats.org/officeDocument/2006/relationships/header" Target="header6.xml"/><Relationship Id="rId38" Type="http://schemas.openxmlformats.org/officeDocument/2006/relationships/footer" Target="footer9.xml"/><Relationship Id="rId2" Type="http://schemas.openxmlformats.org/officeDocument/2006/relationships/customXml" Target="../customXml/item2.xml"/><Relationship Id="rId16" Type="http://schemas.openxmlformats.org/officeDocument/2006/relationships/hyperlink" Target="http://www.vec.vic.gov.au" TargetMode="External"/><Relationship Id="rId20" Type="http://schemas.openxmlformats.org/officeDocument/2006/relationships/header" Target="header1.xml"/><Relationship Id="rId29" Type="http://schemas.openxmlformats.org/officeDocument/2006/relationships/header" Target="header5.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image" Target="media/image7.png"/><Relationship Id="rId37" Type="http://schemas.openxmlformats.org/officeDocument/2006/relationships/footer" Target="footer8.xml"/><Relationship Id="rId40" Type="http://schemas.openxmlformats.org/officeDocument/2006/relationships/footer" Target="footer10.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footer" Target="footer3.xml"/><Relationship Id="rId28" Type="http://schemas.openxmlformats.org/officeDocument/2006/relationships/footer" Target="footer6.xml"/><Relationship Id="rId36" Type="http://schemas.openxmlformats.org/officeDocument/2006/relationships/header" Target="header9.xml"/><Relationship Id="rId10" Type="http://schemas.openxmlformats.org/officeDocument/2006/relationships/footnotes" Target="footnotes.xml"/><Relationship Id="rId19" Type="http://schemas.openxmlformats.org/officeDocument/2006/relationships/image" Target="media/image5.jpeg"/><Relationship Id="rId31"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oter" Target="footer2.xml"/><Relationship Id="rId27" Type="http://schemas.openxmlformats.org/officeDocument/2006/relationships/footer" Target="footer5.xml"/><Relationship Id="rId30" Type="http://schemas.openxmlformats.org/officeDocument/2006/relationships/footer" Target="footer7.xml"/><Relationship Id="rId35" Type="http://schemas.openxmlformats.org/officeDocument/2006/relationships/header" Target="header8.xml"/></Relationships>
</file>

<file path=word/_rels/footnotes.xml.rels><?xml version="1.0" encoding="UTF-8" standalone="yes"?>
<Relationships xmlns="http://schemas.openxmlformats.org/package/2006/relationships"><Relationship Id="rId8" Type="http://schemas.openxmlformats.org/officeDocument/2006/relationships/hyperlink" Target="https://www.mansfield.vic.gov.au/my-council/about-mansfield-shire" TargetMode="External"/><Relationship Id="rId3" Type="http://schemas.openxmlformats.org/officeDocument/2006/relationships/hyperlink" Target="https://quickstats.censusdata.abs.gov.au/census_services/getproduct/census/2016/quickstat/LGA24250?opendocument" TargetMode="External"/><Relationship Id="rId7" Type="http://schemas.openxmlformats.org/officeDocument/2006/relationships/hyperlink" Target="https://www.mansfield.vic.gov.au/sites/default/files/Mansfield%20Shire%20Economic%20Profile%20and%20Directions%20Paper%2022-02-19.pdf" TargetMode="External"/><Relationship Id="rId12" Type="http://schemas.openxmlformats.org/officeDocument/2006/relationships/hyperlink" Target="https://www.aboriginalvictoria.vic.gov.au/acknowledgement-traditional-owners" TargetMode="External"/><Relationship Id="rId2" Type="http://schemas.openxmlformats.org/officeDocument/2006/relationships/hyperlink" Target="http://rmb.mtbuller.com.au/about.php" TargetMode="External"/><Relationship Id="rId1" Type="http://schemas.openxmlformats.org/officeDocument/2006/relationships/hyperlink" Target="https://www.mansfield.vic.gov.au/sites/default/files/Mansfield%20Shire%20Council%20Adopted%20Council%20Plan%202017-21%20and%20Strategic%20Resource%20Plan%202018-22.pdf" TargetMode="External"/><Relationship Id="rId6" Type="http://schemas.openxmlformats.org/officeDocument/2006/relationships/hyperlink" Target="http://knowyourcouncil.vic.gov.au/councils/mansfield" TargetMode="External"/><Relationship Id="rId11" Type="http://schemas.openxmlformats.org/officeDocument/2006/relationships/hyperlink" Target="https://www.planning.vic.gov.au/land-use-and-population-research/victoria-in-future" TargetMode="External"/><Relationship Id="rId5" Type="http://schemas.openxmlformats.org/officeDocument/2006/relationships/hyperlink" Target="https://www.mansfield.vic.gov.au/sites/default/files/ECONOMIC_DEVELOPMENT_STRATEGY_REVIEW_2013-2017_1.sflb_.pdf" TargetMode="External"/><Relationship Id="rId10" Type="http://schemas.openxmlformats.org/officeDocument/2006/relationships/hyperlink" Target="http://www.abs.gov.au/AUSSTATS/abs@.nsf/DetailsPage/2033.0.55.0012016?OpenDocument" TargetMode="External"/><Relationship Id="rId4" Type="http://schemas.openxmlformats.org/officeDocument/2006/relationships/hyperlink" Target="https://quickstats.censusdata.abs.gov.au/census_services/getproduct/census/2016/quickstat/036" TargetMode="External"/><Relationship Id="rId9" Type="http://schemas.openxmlformats.org/officeDocument/2006/relationships/hyperlink" Target="https://itt.abs.gov.au/itt/r.jsp?databyregion&amp;ref=CTA2" TargetMode="External"/></Relationships>
</file>

<file path=word/_rels/header7.xml.rels><?xml version="1.0" encoding="UTF-8" standalone="yes"?>
<Relationships xmlns="http://schemas.openxmlformats.org/package/2006/relationships"><Relationship Id="rId1" Type="http://schemas.openxmlformats.org/officeDocument/2006/relationships/image" Target="media/image8.jpeg"/></Relationships>
</file>

<file path=word/_rels/header9.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LongProperties xmlns="http://schemas.microsoft.com/office/2006/metadata/longProperties"/>
</file>

<file path=customXml/item2.xml><?xml version="1.0" encoding="utf-8"?>
<p:properties xmlns:p="http://schemas.microsoft.com/office/2006/metadata/properties" xmlns:xsi="http://www.w3.org/2001/XMLSchema-instance" xmlns:pc="http://schemas.microsoft.com/office/infopath/2007/PartnerControls">
  <documentManagement>
    <Subcategory xmlns="c52bdd7a-1628-459c-be84-4a18e66071dd" xsi:nil="true"/>
    <_Version xmlns="http://schemas.microsoft.com/sharepoint/v3/fields" xsi:nil="true"/>
    <Trim_x0023_ xmlns="b5828b55-97ee-4323-bae4-e338fabde2b4" xsi:nil="true"/>
    <Year xmlns="c52bdd7a-1628-459c-be84-4a18e66071dd" xsi:nil="true"/>
    <Category xmlns="c52bdd7a-1628-459c-be84-4a18e66071dd" xsi:nil="true"/>
    <Phase xmlns="c52bdd7a-1628-459c-be84-4a18e66071dd" xsi:nil="true"/>
    <Branch xmlns="b5828b55-97ee-4323-bae4-e338fabde2b4">2</Branch>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473CDE2EA74C7843A7ADAF36EE52340D" ma:contentTypeVersion="10" ma:contentTypeDescription="Create a new document." ma:contentTypeScope="" ma:versionID="b103d2162ed9a931421ca49017bb7e5e">
  <xsd:schema xmlns:xsd="http://www.w3.org/2001/XMLSchema" xmlns:p="http://schemas.microsoft.com/office/2006/metadata/properties" xmlns:ns2="c52bdd7a-1628-459c-be84-4a18e66071dd" xmlns:ns3="b5828b55-97ee-4323-bae4-e338fabde2b4" xmlns:ns4="http://schemas.microsoft.com/sharepoint/v3/fields" targetNamespace="http://schemas.microsoft.com/office/2006/metadata/properties" ma:root="true" ma:fieldsID="b3b2c7d0448c8761b5690ffed9b29b49" ns2:_="" ns3:_="" ns4:_="">
    <xsd:import namespace="c52bdd7a-1628-459c-be84-4a18e66071dd"/>
    <xsd:import namespace="b5828b55-97ee-4323-bae4-e338fabde2b4"/>
    <xsd:import namespace="http://schemas.microsoft.com/sharepoint/v3/fields"/>
    <xsd:element name="properties">
      <xsd:complexType>
        <xsd:sequence>
          <xsd:element name="documentManagement">
            <xsd:complexType>
              <xsd:all>
                <xsd:element ref="ns2:Year" minOccurs="0"/>
                <xsd:element ref="ns2:Phase" minOccurs="0"/>
                <xsd:element ref="ns2:Category" minOccurs="0"/>
                <xsd:element ref="ns2:Subcategory" minOccurs="0"/>
                <xsd:element ref="ns3:Branch"/>
                <xsd:element ref="ns3:Trim_x0023_" minOccurs="0"/>
                <xsd:element ref="ns4:_Version" minOccurs="0"/>
              </xsd:all>
            </xsd:complexType>
          </xsd:element>
        </xsd:sequence>
      </xsd:complexType>
    </xsd:element>
  </xsd:schema>
  <xsd:schema xmlns:xsd="http://www.w3.org/2001/XMLSchema" xmlns:dms="http://schemas.microsoft.com/office/2006/documentManagement/types" targetNamespace="c52bdd7a-1628-459c-be84-4a18e66071dd" elementFormDefault="qualified">
    <xsd:import namespace="http://schemas.microsoft.com/office/2006/documentManagement/types"/>
    <xsd:element name="Year" ma:index="8" nillable="true" ma:displayName="Year" ma:list="{D31B8799-7909-4379-8AD8-0BB9303EE5FB}" ma:internalName="Year" ma:showField="Title">
      <xsd:simpleType>
        <xsd:restriction base="dms:Lookup"/>
      </xsd:simpleType>
    </xsd:element>
    <xsd:element name="Phase" ma:index="9" nillable="true" ma:displayName="Phase" ma:list="{D5DA87CE-F72B-448D-A385-96A858D1210C}" ma:internalName="Phase" ma:showField="Title">
      <xsd:simpleType>
        <xsd:restriction base="dms:Lookup"/>
      </xsd:simpleType>
    </xsd:element>
    <xsd:element name="Category" ma:index="10" nillable="true" ma:displayName="Category" ma:list="{42A090C6-3235-49E7-8EED-35FA2594C0AD}" ma:internalName="Category" ma:showField="Title">
      <xsd:simpleType>
        <xsd:restriction base="dms:Lookup"/>
      </xsd:simpleType>
    </xsd:element>
    <xsd:element name="Subcategory" ma:index="11" nillable="true" ma:displayName="Subcategory" ma:list="{CDB746F7-4705-4007-B031-610C94E1ADD7}" ma:internalName="Subcategory" ma:showField="Title">
      <xsd:simpleType>
        <xsd:restriction base="dms:Lookup"/>
      </xsd:simpleType>
    </xsd:element>
  </xsd:schema>
  <xsd:schema xmlns:xsd="http://www.w3.org/2001/XMLSchema" xmlns:dms="http://schemas.microsoft.com/office/2006/documentManagement/types" targetNamespace="b5828b55-97ee-4323-bae4-e338fabde2b4" elementFormDefault="qualified">
    <xsd:import namespace="http://schemas.microsoft.com/office/2006/documentManagement/types"/>
    <xsd:element name="Branch" ma:index="12" ma:displayName="Branch" ma:list="{d88feb48-dafc-4a9f-9ab0-b29d8cab38e0}" ma:internalName="Branch" ma:showField="Title" ma:web="b5828b55-97ee-4323-bae4-e338fabde2b4">
      <xsd:simpleType>
        <xsd:restriction base="dms:Lookup"/>
      </xsd:simpleType>
    </xsd:element>
    <xsd:element name="Trim_x0023_" ma:index="13" nillable="true" ma:displayName="Trim#" ma:internalName="Trim_x0023_">
      <xsd:simpleType>
        <xsd:restriction base="dms:Text">
          <xsd:maxLength value="255"/>
        </xsd:restriction>
      </xsd:simpleType>
    </xsd:element>
  </xsd:schema>
  <xsd:schema xmlns:xsd="http://www.w3.org/2001/XMLSchema" xmlns:dms="http://schemas.microsoft.com/office/2006/documentManagement/types" targetNamespace="http://schemas.microsoft.com/sharepoint/v3/fields" elementFormDefault="qualified">
    <xsd:import namespace="http://schemas.microsoft.com/office/2006/documentManagement/types"/>
    <xsd:element name="_Version" ma:index="14" nillable="true" ma:displayName="Version" ma:internalName="_Version">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Entity Nam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5D7E492-6573-46FC-92B1-4AD8F2B323FB}">
  <ds:schemaRefs>
    <ds:schemaRef ds:uri="http://schemas.microsoft.com/office/2006/metadata/longProperties"/>
  </ds:schemaRefs>
</ds:datastoreItem>
</file>

<file path=customXml/itemProps2.xml><?xml version="1.0" encoding="utf-8"?>
<ds:datastoreItem xmlns:ds="http://schemas.openxmlformats.org/officeDocument/2006/customXml" ds:itemID="{633242D7-ECA2-491C-8C0B-8330760688D6}">
  <ds:schemaRefs>
    <ds:schemaRef ds:uri="http://purl.org/dc/elements/1.1/"/>
    <ds:schemaRef ds:uri="http://schemas.microsoft.com/sharepoint/v3/fields"/>
    <ds:schemaRef ds:uri="http://schemas.openxmlformats.org/package/2006/metadata/core-properties"/>
    <ds:schemaRef ds:uri="http://www.w3.org/XML/1998/namespace"/>
    <ds:schemaRef ds:uri="b5828b55-97ee-4323-bae4-e338fabde2b4"/>
    <ds:schemaRef ds:uri="http://purl.org/dc/terms/"/>
    <ds:schemaRef ds:uri="c52bdd7a-1628-459c-be84-4a18e66071dd"/>
    <ds:schemaRef ds:uri="http://schemas.microsoft.com/office/2006/documentManagement/types"/>
    <ds:schemaRef ds:uri="http://purl.org/dc/dcmitype/"/>
    <ds:schemaRef ds:uri="http://schemas.microsoft.com/office/2006/metadata/properties"/>
  </ds:schemaRefs>
</ds:datastoreItem>
</file>

<file path=customXml/itemProps3.xml><?xml version="1.0" encoding="utf-8"?>
<ds:datastoreItem xmlns:ds="http://schemas.openxmlformats.org/officeDocument/2006/customXml" ds:itemID="{8ED60269-EAD5-46B2-B843-211257974AFB}">
  <ds:schemaRefs>
    <ds:schemaRef ds:uri="http://schemas.microsoft.com/sharepoint/v3/contenttype/forms"/>
  </ds:schemaRefs>
</ds:datastoreItem>
</file>

<file path=customXml/itemProps4.xml><?xml version="1.0" encoding="utf-8"?>
<ds:datastoreItem xmlns:ds="http://schemas.openxmlformats.org/officeDocument/2006/customXml" ds:itemID="{2369D36E-2ADE-4EA9-A063-E299A03352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2bdd7a-1628-459c-be84-4a18e66071dd"/>
    <ds:schemaRef ds:uri="b5828b55-97ee-4323-bae4-e338fabde2b4"/>
    <ds:schemaRef ds:uri="http://schemas.microsoft.com/sharepoint/v3/fields"/>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5.xml><?xml version="1.0" encoding="utf-8"?>
<ds:datastoreItem xmlns:ds="http://schemas.openxmlformats.org/officeDocument/2006/customXml" ds:itemID="{87A1EC94-02C3-43A2-8EA7-BEDA039CA72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7007</Words>
  <Characters>39940</Characters>
  <Application>Microsoft Office Word</Application>
  <DocSecurity>4</DocSecurity>
  <Lines>332</Lines>
  <Paragraphs>93</Paragraphs>
  <ScaleCrop>false</ScaleCrop>
  <HeadingPairs>
    <vt:vector size="2" baseType="variant">
      <vt:variant>
        <vt:lpstr>Title</vt:lpstr>
      </vt:variant>
      <vt:variant>
        <vt:i4>1</vt:i4>
      </vt:variant>
    </vt:vector>
  </HeadingPairs>
  <TitlesOfParts>
    <vt:vector size="1" baseType="lpstr">
      <vt:lpstr>2015-16 Representation Review Guide for Submissions Template Rural Regional DOC</vt:lpstr>
    </vt:vector>
  </TitlesOfParts>
  <Company>SHOSYS801</Company>
  <LinksUpToDate>false</LinksUpToDate>
  <CharactersWithSpaces>46854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2015-16 Representation Review Guide for Submissions Template Rural Regional DOC</dc:title>
  <dc:subject/>
  <dc:creator>VEC</dc:creator>
  <cp:keywords/>
  <cp:lastModifiedBy>Hien Doan</cp:lastModifiedBy>
  <cp:revision>2</cp:revision>
  <cp:lastPrinted>2019-04-12T06:53:00Z</cp:lastPrinted>
  <dcterms:created xsi:type="dcterms:W3CDTF">2020-03-24T05:00:00Z</dcterms:created>
  <dcterms:modified xsi:type="dcterms:W3CDTF">2020-03-24T05:00:00Z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