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7F7EDA71">
                <wp:simplePos x="0" y="0"/>
                <wp:positionH relativeFrom="column">
                  <wp:posOffset>3223260</wp:posOffset>
                </wp:positionH>
                <wp:positionV relativeFrom="paragraph">
                  <wp:posOffset>142240</wp:posOffset>
                </wp:positionV>
                <wp:extent cx="2882265" cy="6551295"/>
                <wp:effectExtent l="0" t="0" r="13335" b="20955"/>
                <wp:wrapTight wrapText="bothSides">
                  <wp:wrapPolygon edited="0">
                    <wp:start x="2427" y="0"/>
                    <wp:lineTo x="1428" y="188"/>
                    <wp:lineTo x="0" y="817"/>
                    <wp:lineTo x="0" y="20539"/>
                    <wp:lineTo x="571" y="21104"/>
                    <wp:lineTo x="571" y="21167"/>
                    <wp:lineTo x="2141" y="21606"/>
                    <wp:lineTo x="2427" y="21606"/>
                    <wp:lineTo x="19130" y="21606"/>
                    <wp:lineTo x="19416" y="21606"/>
                    <wp:lineTo x="20986" y="21167"/>
                    <wp:lineTo x="20986" y="21104"/>
                    <wp:lineTo x="21557" y="20601"/>
                    <wp:lineTo x="21557" y="817"/>
                    <wp:lineTo x="20130" y="188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55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09452744" w:rsidR="00787A2B" w:rsidRPr="007D76EF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F00ECB" w:rsidRPr="00F00EC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Whittlesea</w:t>
                            </w:r>
                            <w:r w:rsidR="0081120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City</w:t>
                            </w:r>
                            <w:r w:rsidR="00F00ECB" w:rsidRPr="00F00EC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4C730EDE" w:rsidR="00533759" w:rsidRPr="007D76EF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71548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Whittlesea City Council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2pt;width:226.95pt;height:515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09452744" w:rsidR="00787A2B" w:rsidRPr="007D76EF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F00ECB" w:rsidRPr="00F00ECB">
                        <w:rPr>
                          <w:bCs/>
                          <w:color w:val="FFFFFF" w:themeColor="background1"/>
                          <w:szCs w:val="20"/>
                        </w:rPr>
                        <w:t>Whittlesea</w:t>
                      </w:r>
                      <w:r w:rsidR="0081120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City</w:t>
                      </w:r>
                      <w:r w:rsidR="00F00ECB" w:rsidRPr="00F00EC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4C730EDE" w:rsidR="00533759" w:rsidRPr="007D76EF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71548A">
                        <w:rPr>
                          <w:bCs/>
                          <w:color w:val="FFFFFF" w:themeColor="background1"/>
                          <w:szCs w:val="20"/>
                        </w:rPr>
                        <w:t>Whittlesea City Council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</w:t>
                      </w:r>
                      <w:proofErr w:type="gramStart"/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if</w:t>
                      </w:r>
                      <w:proofErr w:type="gramEnd"/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2BE8E3BF" w:rsidR="005E451C" w:rsidRPr="005A3FC0" w:rsidRDefault="00533759" w:rsidP="00303185">
      <w:pPr>
        <w:pStyle w:val="Heading1A"/>
      </w:pPr>
      <w:r>
        <w:t xml:space="preserve">About </w:t>
      </w:r>
      <w:r w:rsidR="00F00ECB">
        <w:t>Whittlesea</w:t>
      </w:r>
      <w:r w:rsidR="0081120D">
        <w:t xml:space="preserve"> City</w:t>
      </w:r>
      <w:r w:rsidR="005E451C" w:rsidRPr="005A3FC0">
        <w:t xml:space="preserve"> Council</w:t>
      </w:r>
    </w:p>
    <w:p w14:paraId="06909785" w14:textId="2E982FF0" w:rsidR="001765BB" w:rsidRDefault="001765BB" w:rsidP="007E7DF0">
      <w:pPr>
        <w:pStyle w:val="Body"/>
        <w:spacing w:after="200" w:line="240" w:lineRule="auto"/>
        <w:sectPr w:rsidR="001765BB" w:rsidSect="00C66DBA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681F1178" w14:textId="105CEF0C" w:rsidR="00303185" w:rsidRDefault="00C66DBA" w:rsidP="007E7DF0">
      <w:pPr>
        <w:pStyle w:val="Body"/>
        <w:spacing w:after="200" w:line="240" w:lineRule="auto"/>
      </w:pPr>
      <w:r>
        <w:t xml:space="preserve">The </w:t>
      </w:r>
      <w:r w:rsidR="00F00ECB" w:rsidRPr="00FD3A1F">
        <w:t xml:space="preserve">Traditional Custodians of </w:t>
      </w:r>
      <w:r w:rsidR="00BA364D">
        <w:t xml:space="preserve">the lands in </w:t>
      </w:r>
      <w:r w:rsidR="00F00ECB" w:rsidRPr="00FD3A1F">
        <w:t>Whittlesea City</w:t>
      </w:r>
      <w:r w:rsidR="00F00ECB">
        <w:t xml:space="preserve"> Council</w:t>
      </w:r>
      <w:r w:rsidR="00F00ECB" w:rsidRPr="00FD3A1F">
        <w:t xml:space="preserve"> are the Wurundjeri and the Taungurung peoples.</w:t>
      </w:r>
    </w:p>
    <w:p w14:paraId="7DFF7612" w14:textId="69DAC600" w:rsidR="00D853C4" w:rsidRDefault="00F00ECB" w:rsidP="00D853C4">
      <w:pPr>
        <w:pStyle w:val="Body"/>
        <w:spacing w:after="200" w:line="240" w:lineRule="auto"/>
      </w:pPr>
      <w:r>
        <w:t xml:space="preserve">Whittlesea City Council is located about </w:t>
      </w:r>
      <w:r w:rsidR="00986DFF">
        <w:br/>
      </w:r>
      <w:r>
        <w:t>20 km north of central Melbourne and covers an area of 490 km</w:t>
      </w:r>
      <w:r>
        <w:rPr>
          <w:vertAlign w:val="superscript"/>
        </w:rPr>
        <w:t>2</w:t>
      </w:r>
      <w:r>
        <w:t xml:space="preserve">. </w:t>
      </w:r>
      <w:r w:rsidR="00D853C4">
        <w:t>It makes up part of Melbourne’s peri-urban fringe, straddling an urban</w:t>
      </w:r>
      <w:r w:rsidR="00BA364D">
        <w:t>–</w:t>
      </w:r>
      <w:r w:rsidR="00D853C4">
        <w:t xml:space="preserve">rural interface, </w:t>
      </w:r>
      <w:r w:rsidR="00296F9B">
        <w:t>with</w:t>
      </w:r>
      <w:r w:rsidR="00D853C4">
        <w:t xml:space="preserve"> the south </w:t>
      </w:r>
      <w:r w:rsidR="00296F9B">
        <w:t xml:space="preserve">comprising mainly urban living </w:t>
      </w:r>
      <w:r w:rsidR="00D853C4">
        <w:t>and the north</w:t>
      </w:r>
      <w:r w:rsidR="005D5F44">
        <w:t xml:space="preserve"> rural and farming land</w:t>
      </w:r>
      <w:r w:rsidR="00D853C4">
        <w:t>.</w:t>
      </w:r>
    </w:p>
    <w:p w14:paraId="707B9CEC" w14:textId="3D2986D1" w:rsidR="00B74C22" w:rsidRDefault="004463DB" w:rsidP="007E7DF0">
      <w:pPr>
        <w:pStyle w:val="Body"/>
        <w:spacing w:after="200" w:line="240" w:lineRule="auto"/>
      </w:pPr>
      <w:r>
        <w:t>It is the</w:t>
      </w:r>
      <w:r w:rsidR="00F00ECB">
        <w:t xml:space="preserve"> fifth largest Victorian council by population, </w:t>
      </w:r>
      <w:r w:rsidR="00A374C1">
        <w:t>which in 2021 numbered</w:t>
      </w:r>
      <w:r w:rsidR="00F00ECB">
        <w:t xml:space="preserve"> 229,396 people. </w:t>
      </w:r>
      <w:r w:rsidR="000A405C">
        <w:t>Rapid growth is forecast to conti</w:t>
      </w:r>
      <w:r w:rsidR="00457521">
        <w:t xml:space="preserve">nue, with the population expected to </w:t>
      </w:r>
      <w:r w:rsidR="00587BE3">
        <w:t xml:space="preserve">be </w:t>
      </w:r>
      <w:r w:rsidR="00F00ECB">
        <w:t>over 277,000</w:t>
      </w:r>
      <w:r w:rsidR="00BF0905">
        <w:t xml:space="preserve"> by about 2028 and</w:t>
      </w:r>
      <w:r w:rsidR="00F00ECB">
        <w:t xml:space="preserve"> 360,000</w:t>
      </w:r>
      <w:r w:rsidR="00EE0332">
        <w:t xml:space="preserve"> </w:t>
      </w:r>
      <w:r w:rsidR="00BF0905">
        <w:t>by 2041</w:t>
      </w:r>
      <w:r w:rsidR="00AE151B">
        <w:t>.</w:t>
      </w:r>
    </w:p>
    <w:p w14:paraId="489E5DC4" w14:textId="68365614" w:rsidR="00F00ECB" w:rsidRDefault="00F00ECB" w:rsidP="007E7DF0">
      <w:pPr>
        <w:pStyle w:val="Body"/>
        <w:spacing w:after="200" w:line="240" w:lineRule="auto"/>
      </w:pPr>
      <w:r>
        <w:t>Post-war immigration and more recent changes to the Melbourne urban growth boundary have shaped the council. The Thomastown area saw</w:t>
      </w:r>
      <w:r w:rsidR="00B265F5">
        <w:t xml:space="preserve"> significant</w:t>
      </w:r>
      <w:r>
        <w:t xml:space="preserve"> </w:t>
      </w:r>
      <w:r w:rsidR="00CD1D54">
        <w:t>growth</w:t>
      </w:r>
      <w:r>
        <w:t xml:space="preserve"> </w:t>
      </w:r>
      <w:r w:rsidR="00B265F5">
        <w:t>during</w:t>
      </w:r>
      <w:r>
        <w:t xml:space="preserve"> the 1950</w:t>
      </w:r>
      <w:r w:rsidR="00916C54">
        <w:t>s and 19</w:t>
      </w:r>
      <w:r>
        <w:t xml:space="preserve">60s </w:t>
      </w:r>
      <w:r w:rsidR="00B265F5">
        <w:t xml:space="preserve">with </w:t>
      </w:r>
      <w:r w:rsidR="00916C54">
        <w:t>many</w:t>
      </w:r>
      <w:r w:rsidR="00CD1D54">
        <w:t xml:space="preserve"> </w:t>
      </w:r>
      <w:r w:rsidRPr="00FE3CF2">
        <w:t xml:space="preserve">Italian, Macedonian, </w:t>
      </w:r>
      <w:r w:rsidR="003B0839">
        <w:t xml:space="preserve">and </w:t>
      </w:r>
      <w:r w:rsidRPr="00FE3CF2">
        <w:t xml:space="preserve">Greek </w:t>
      </w:r>
      <w:r w:rsidR="00345F46">
        <w:t>migrants</w:t>
      </w:r>
      <w:r w:rsidR="003B0839">
        <w:t xml:space="preserve">. </w:t>
      </w:r>
    </w:p>
    <w:p w14:paraId="1BDC8CEB" w14:textId="07399B3D" w:rsidR="00F00ECB" w:rsidRDefault="00F00ECB" w:rsidP="007E7DF0">
      <w:pPr>
        <w:pStyle w:val="Body"/>
        <w:spacing w:after="200" w:line="240" w:lineRule="auto"/>
      </w:pPr>
      <w:r>
        <w:t xml:space="preserve">More recently, residential growth has </w:t>
      </w:r>
      <w:r w:rsidR="0088742E">
        <w:t xml:space="preserve">continued </w:t>
      </w:r>
      <w:r>
        <w:t xml:space="preserve">north along Epping Road </w:t>
      </w:r>
      <w:r w:rsidR="00AE5A47">
        <w:t>to</w:t>
      </w:r>
      <w:r>
        <w:t xml:space="preserve"> Epping, Wollert and Donnybrook</w:t>
      </w:r>
      <w:r w:rsidR="00185BB2">
        <w:t xml:space="preserve"> and </w:t>
      </w:r>
      <w:r w:rsidR="002166EB">
        <w:t xml:space="preserve">along </w:t>
      </w:r>
      <w:r>
        <w:t xml:space="preserve">Plenty Road </w:t>
      </w:r>
      <w:r w:rsidR="003234E6">
        <w:t>to</w:t>
      </w:r>
      <w:r w:rsidR="00073307">
        <w:t xml:space="preserve"> </w:t>
      </w:r>
      <w:r>
        <w:t>South Morang</w:t>
      </w:r>
      <w:r w:rsidR="003234E6">
        <w:t>,</w:t>
      </w:r>
      <w:r>
        <w:t xml:space="preserve"> Mernda and Doreen.</w:t>
      </w:r>
    </w:p>
    <w:p w14:paraId="7817DA9F" w14:textId="2068C0DB" w:rsidR="00303185" w:rsidRPr="00533759" w:rsidRDefault="00F00ECB" w:rsidP="00180359">
      <w:pPr>
        <w:pStyle w:val="Heading2"/>
        <w:spacing w:after="0"/>
        <w:sectPr w:rsidR="00303185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 w:rsidRPr="00D05390">
        <w:rPr>
          <w:rFonts w:eastAsiaTheme="minorHAnsi" w:cstheme="minorBidi"/>
          <w:b w:val="0"/>
          <w:color w:val="auto"/>
          <w:sz w:val="22"/>
          <w:szCs w:val="22"/>
        </w:rPr>
        <w:t>The outer growth areas are typified by younger families with a range of cultural identities. Many residents live in free</w:t>
      </w:r>
      <w:r w:rsidR="009E796F">
        <w:rPr>
          <w:rFonts w:eastAsiaTheme="minorHAnsi" w:cstheme="minorBidi"/>
          <w:b w:val="0"/>
          <w:color w:val="auto"/>
          <w:sz w:val="22"/>
          <w:szCs w:val="22"/>
        </w:rPr>
        <w:t>-</w:t>
      </w:r>
      <w:r w:rsidRPr="00D05390">
        <w:rPr>
          <w:rFonts w:eastAsiaTheme="minorHAnsi" w:cstheme="minorBidi"/>
          <w:b w:val="0"/>
          <w:color w:val="auto"/>
          <w:sz w:val="22"/>
          <w:szCs w:val="22"/>
        </w:rPr>
        <w:t xml:space="preserve">standing houses owned with a mortgage </w:t>
      </w:r>
      <w:r w:rsidR="009E796F">
        <w:rPr>
          <w:rFonts w:eastAsiaTheme="minorHAnsi" w:cstheme="minorBidi"/>
          <w:b w:val="0"/>
          <w:color w:val="auto"/>
          <w:sz w:val="22"/>
          <w:szCs w:val="22"/>
        </w:rPr>
        <w:t xml:space="preserve">and </w:t>
      </w:r>
      <w:r w:rsidR="002166EB">
        <w:rPr>
          <w:rFonts w:eastAsiaTheme="minorHAnsi" w:cstheme="minorBidi"/>
          <w:b w:val="0"/>
          <w:color w:val="auto"/>
          <w:sz w:val="22"/>
          <w:szCs w:val="22"/>
        </w:rPr>
        <w:t>commute by car</w:t>
      </w:r>
      <w:r>
        <w:rPr>
          <w:rFonts w:eastAsiaTheme="minorHAnsi" w:cstheme="minorBidi"/>
          <w:b w:val="0"/>
          <w:color w:val="auto"/>
          <w:sz w:val="22"/>
          <w:szCs w:val="22"/>
        </w:rPr>
        <w:t>.</w:t>
      </w:r>
    </w:p>
    <w:p w14:paraId="1BF721CF" w14:textId="77777777" w:rsidR="002166EB" w:rsidRPr="00724088" w:rsidRDefault="002166EB" w:rsidP="00724088"/>
    <w:p w14:paraId="00D84B33" w14:textId="77777777" w:rsidR="002166EB" w:rsidRPr="00724088" w:rsidRDefault="002166EB" w:rsidP="00724088">
      <w:pPr>
        <w:spacing w:after="0"/>
      </w:pPr>
    </w:p>
    <w:p w14:paraId="2C877BB0" w14:textId="4EB28BA6" w:rsidR="004B309B" w:rsidRPr="00E25ED3" w:rsidRDefault="004B309B" w:rsidP="00724088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51369F60" w:rsidR="004B309B" w:rsidRPr="00C41D2B" w:rsidRDefault="00971F5A" w:rsidP="004B309B">
      <w:pPr>
        <w:pStyle w:val="Body"/>
        <w:spacing w:after="240" w:line="240" w:lineRule="auto"/>
      </w:pPr>
      <w:r w:rsidRPr="00C41D2B">
        <w:t>Whittlesea City</w:t>
      </w:r>
      <w:r w:rsidR="004B309B" w:rsidRPr="00C41D2B">
        <w:t xml:space="preserve"> </w:t>
      </w:r>
      <w:r w:rsidR="001557DA" w:rsidRPr="00C41D2B">
        <w:t xml:space="preserve">Council </w:t>
      </w:r>
      <w:r w:rsidR="004B309B" w:rsidRPr="00C41D2B">
        <w:t>is divided into</w:t>
      </w:r>
      <w:r w:rsidR="00E3332A" w:rsidRPr="00C41D2B">
        <w:t xml:space="preserve"> </w:t>
      </w:r>
      <w:r w:rsidRPr="00C41D2B">
        <w:t>3</w:t>
      </w:r>
      <w:r w:rsidR="0094715B" w:rsidRPr="00C41D2B">
        <w:t xml:space="preserve"> wards </w:t>
      </w:r>
      <w:r w:rsidR="004B309B" w:rsidRPr="00C41D2B">
        <w:t xml:space="preserve">with a total of </w:t>
      </w:r>
      <w:r w:rsidR="00C41D2B" w:rsidRPr="00C41D2B">
        <w:t>11</w:t>
      </w:r>
      <w:r w:rsidR="00A16431" w:rsidRPr="00C41D2B">
        <w:t xml:space="preserve"> councillors:</w:t>
      </w:r>
      <w:r w:rsidR="004B309B" w:rsidRPr="00C41D2B">
        <w:t xml:space="preserve">  </w:t>
      </w:r>
    </w:p>
    <w:p w14:paraId="17EADD04" w14:textId="6DBB47CE" w:rsidR="00A55CE7" w:rsidRPr="00C41D2B" w:rsidRDefault="002166EB" w:rsidP="001E6B21">
      <w:pPr>
        <w:pStyle w:val="Bulletlevel1"/>
        <w:spacing w:after="0"/>
      </w:pPr>
      <w:r>
        <w:t>o</w:t>
      </w:r>
      <w:r w:rsidR="00C41D2B" w:rsidRPr="00C41D2B">
        <w:t>ne ward</w:t>
      </w:r>
      <w:r w:rsidR="00931605" w:rsidRPr="00C41D2B">
        <w:t xml:space="preserve"> with </w:t>
      </w:r>
      <w:r w:rsidR="00C41D2B" w:rsidRPr="00C41D2B">
        <w:t>3</w:t>
      </w:r>
      <w:r w:rsidR="006D729D" w:rsidRPr="00C41D2B">
        <w:t xml:space="preserve"> councillors</w:t>
      </w:r>
      <w:r w:rsidR="00E02C88" w:rsidRPr="00C41D2B">
        <w:t xml:space="preserve"> </w:t>
      </w:r>
    </w:p>
    <w:p w14:paraId="5820B09E" w14:textId="29FD66E2" w:rsidR="004416AD" w:rsidRPr="00C41D2B" w:rsidRDefault="00C41D2B" w:rsidP="004416AD">
      <w:pPr>
        <w:pStyle w:val="Bulletlevel1"/>
        <w:spacing w:after="0"/>
      </w:pPr>
      <w:r w:rsidRPr="00C41D2B">
        <w:t>2</w:t>
      </w:r>
      <w:r w:rsidR="004416AD" w:rsidRPr="00C41D2B">
        <w:t xml:space="preserve"> wards with </w:t>
      </w:r>
      <w:r w:rsidRPr="00C41D2B">
        <w:t>4</w:t>
      </w:r>
      <w:r w:rsidR="006D729D" w:rsidRPr="00C41D2B">
        <w:t xml:space="preserve"> </w:t>
      </w:r>
      <w:r w:rsidR="004416AD" w:rsidRPr="00C41D2B">
        <w:t>councillors each</w:t>
      </w:r>
      <w:r w:rsidR="002166EB">
        <w:t>.</w:t>
      </w:r>
    </w:p>
    <w:p w14:paraId="18A5310F" w14:textId="77777777" w:rsidR="002166EB" w:rsidRPr="00724088" w:rsidRDefault="002166EB" w:rsidP="00724088"/>
    <w:p w14:paraId="6BA48507" w14:textId="2E0C4390" w:rsidR="00CE77A4" w:rsidRPr="00E25ED3" w:rsidRDefault="00CE77A4" w:rsidP="00026B05">
      <w:pPr>
        <w:pStyle w:val="Heading2"/>
        <w:spacing w:before="120" w:after="120"/>
      </w:pPr>
      <w:r w:rsidRPr="00E25ED3">
        <w:t>Last review</w:t>
      </w:r>
    </w:p>
    <w:p w14:paraId="00731AF2" w14:textId="7023D496" w:rsidR="00026B05" w:rsidRDefault="004C6598" w:rsidP="00026B05">
      <w:pPr>
        <w:pStyle w:val="Body"/>
        <w:spacing w:after="120" w:line="240" w:lineRule="auto"/>
      </w:pPr>
      <w:r w:rsidRPr="004C6598">
        <w:t xml:space="preserve">A representation review for Whittlesea City Council ceased </w:t>
      </w:r>
      <w:r w:rsidR="00923BD5">
        <w:t xml:space="preserve">in April 2020 when </w:t>
      </w:r>
      <w:r w:rsidRPr="004C6598">
        <w:t xml:space="preserve">the </w:t>
      </w:r>
      <w:r w:rsidRPr="004C6598">
        <w:rPr>
          <w:i/>
          <w:iCs/>
        </w:rPr>
        <w:t>Local Government Act 2020</w:t>
      </w:r>
      <w:r w:rsidRPr="004C6598">
        <w:t xml:space="preserve"> </w:t>
      </w:r>
      <w:r w:rsidR="00923BD5">
        <w:t>was introduced</w:t>
      </w:r>
      <w:r w:rsidR="00D14296">
        <w:t>.</w:t>
      </w:r>
    </w:p>
    <w:p w14:paraId="7A04E1C8" w14:textId="5D21C38E" w:rsidR="00EF07A7" w:rsidRDefault="00EF07A7" w:rsidP="00122E13">
      <w:pPr>
        <w:pStyle w:val="Body"/>
        <w:spacing w:after="240" w:line="240" w:lineRule="auto"/>
        <w:sectPr w:rsidR="00EF07A7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 w:rsidRPr="00EF07A7">
        <w:t>The final report for the Whittlesea City Council representation review was not published</w:t>
      </w:r>
      <w:r w:rsidR="00F55D52">
        <w:t>.</w:t>
      </w: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15BC483E" w:rsidR="00442535" w:rsidRDefault="00B53151" w:rsidP="00C93B58">
      <w:pPr>
        <w:pStyle w:val="Heading2a"/>
      </w:pPr>
      <w:r>
        <w:t xml:space="preserve">Monday </w:t>
      </w:r>
      <w:r w:rsidR="00F00ECB">
        <w:t>23</w:t>
      </w:r>
      <w:r>
        <w:t xml:space="preserve"> and Tuesday </w:t>
      </w:r>
      <w:r w:rsidR="00F00ECB">
        <w:t>24 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1B26F40C" w:rsidR="001C2597" w:rsidRDefault="00C93B58" w:rsidP="000378E4">
      <w:pPr>
        <w:pStyle w:val="BodyA"/>
      </w:pPr>
      <w:r w:rsidRPr="00C93B58">
        <w:t xml:space="preserve">Session 1: </w:t>
      </w:r>
      <w:r w:rsidR="00FA04FA">
        <w:t>12 noon, Monday</w:t>
      </w:r>
      <w:r w:rsidR="00F00ECB">
        <w:t xml:space="preserve"> 23 October</w:t>
      </w:r>
      <w:r w:rsidRPr="00132DC6">
        <w:t xml:space="preserve"> </w:t>
      </w:r>
    </w:p>
    <w:p w14:paraId="1AF94748" w14:textId="6240CA4A" w:rsidR="00C93B58" w:rsidRPr="00C93B58" w:rsidRDefault="00C93B58" w:rsidP="000378E4">
      <w:pPr>
        <w:pStyle w:val="BodyA"/>
      </w:pPr>
      <w:r w:rsidRPr="00C93B58">
        <w:t xml:space="preserve">Session 2: </w:t>
      </w:r>
      <w:r w:rsidR="00E66A6A">
        <w:t>6 pm</w:t>
      </w:r>
      <w:r w:rsidR="00621772">
        <w:t xml:space="preserve">, Tuesday </w:t>
      </w:r>
      <w:r w:rsidR="00F00ECB">
        <w:t>24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25A49FFD" w:rsidR="00C93B58" w:rsidRDefault="00B53151" w:rsidP="00C76AB3">
      <w:pPr>
        <w:pStyle w:val="Heading2a"/>
      </w:pPr>
      <w:r>
        <w:t xml:space="preserve">Wednesday </w:t>
      </w:r>
      <w:r w:rsidR="00F00ECB">
        <w:t>25 October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221A4059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F00ECB">
        <w:t>25 October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255D0630" w:rsidR="002012D1" w:rsidRDefault="002012D1" w:rsidP="002012D1">
      <w:pPr>
        <w:pStyle w:val="Heading2a"/>
      </w:pPr>
      <w:r>
        <w:t xml:space="preserve">Wednesday </w:t>
      </w:r>
      <w:r w:rsidR="00F00ECB">
        <w:t>15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38860B49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305C12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F00ECB">
        <w:t>15 November.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3C48F899" w14:textId="4942EB21" w:rsidR="00C76AB3" w:rsidRDefault="00F00ECB" w:rsidP="00C76AB3">
      <w:pPr>
        <w:pStyle w:val="Heading2a"/>
      </w:pPr>
      <w:r>
        <w:t>Tuesday</w:t>
      </w:r>
      <w:r w:rsidR="00F05FB4">
        <w:t xml:space="preserve"> </w:t>
      </w:r>
      <w:r w:rsidR="00F52466">
        <w:t>21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3AF5386F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</w:t>
      </w:r>
      <w:r w:rsidR="00F52466">
        <w:t xml:space="preserve"> 2 pm </w:t>
      </w:r>
      <w:r w:rsidR="00464B92">
        <w:t xml:space="preserve">on </w:t>
      </w:r>
      <w:r w:rsidR="00F52466">
        <w:t>Tuesday 21 November.</w:t>
      </w:r>
      <w:r>
        <w:t xml:space="preserve"> 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2417855A" w:rsidR="00143EDC" w:rsidRDefault="00143EDC" w:rsidP="00143EDC">
      <w:pPr>
        <w:pStyle w:val="Heading2a"/>
      </w:pPr>
      <w:r>
        <w:t xml:space="preserve">Wednesday </w:t>
      </w:r>
      <w:r w:rsidR="00F52466">
        <w:t>20 December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0E1C8B5B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F52466">
        <w:t>20 December</w:t>
      </w:r>
      <w:r w:rsidR="00C77524">
        <w:t xml:space="preserve">. </w:t>
      </w:r>
    </w:p>
    <w:p w14:paraId="48E670BE" w14:textId="66D3C8A3" w:rsidR="00EF4709" w:rsidRDefault="00385E80" w:rsidP="000378E4">
      <w:pPr>
        <w:pStyle w:val="BodyA"/>
      </w:pPr>
      <w:r>
        <w:t xml:space="preserve">The </w:t>
      </w:r>
      <w:r w:rsidR="003E054A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69174139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>submission guide from the VEC website at</w:t>
      </w:r>
      <w:hyperlink r:id="rId9" w:tooltip="Link to VEC website" w:history="1">
        <w:r w:rsidRPr="008676A6">
          <w:rPr>
            <w:rStyle w:val="Hyperlink"/>
            <w:u w:val="none"/>
          </w:rPr>
          <w:t xml:space="preserve"> </w:t>
        </w:r>
        <w:r w:rsidRPr="00F52466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5D512ADF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2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088DF19D" w14:textId="6C67EFD0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3" w:history="1">
        <w:r w:rsidR="00C93492">
          <w:rPr>
            <w:rStyle w:val="Hyperlink"/>
          </w:rPr>
          <w:t>Whittlesea.ERAPSubmissions@ vec.vic.gov.au</w:t>
        </w:r>
      </w:hyperlink>
      <w:r w:rsidR="00E22B5E">
        <w:rPr>
          <w:rStyle w:val="Hyperlink"/>
          <w:color w:val="auto"/>
          <w:u w:val="none"/>
        </w:rPr>
        <w:t xml:space="preserve"> </w:t>
      </w:r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55DC7995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5" w:tooltip="Link to VEc website privacy pag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2EF762FB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0D58D0E" w14:textId="27ED1240" w:rsidR="00303185" w:rsidRDefault="0042135D" w:rsidP="00E829F5">
      <w:r>
        <w:rPr>
          <w:noProof/>
        </w:rPr>
        <w:drawing>
          <wp:inline distT="0" distB="0" distL="0" distR="0" wp14:anchorId="45BBA5F4" wp14:editId="2CAB4A48">
            <wp:extent cx="6071092" cy="4451230"/>
            <wp:effectExtent l="0" t="0" r="6350" b="6985"/>
            <wp:docPr id="8" name="Picture 8" descr="Map of the electoral structure of Whittlesea City Council showing the area is divided into 3 wards. As at July 2023 there are 11 councillors and a total of 170,869 vo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the electoral structure of Whittlesea City Council showing the area is divided into 3 wards. As at July 2023 there are 11 councillors and a total of 170,869 vot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03" cy="44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6C53" w14:textId="77777777" w:rsidR="005560E8" w:rsidRDefault="005560E8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Whittlesea City Council ward details (table)"/>
        <w:tblDescription w:val="Table lists the wards of Whittlesea City Council, and each councillor, voter numbers and deviation per ward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F52466" w:rsidRPr="007C7BB3" w14:paraId="09DFC1FF" w14:textId="77777777" w:rsidTr="007A7027">
        <w:tc>
          <w:tcPr>
            <w:tcW w:w="3388" w:type="dxa"/>
          </w:tcPr>
          <w:p w14:paraId="42347158" w14:textId="0AC9A663" w:rsidR="00F52466" w:rsidRDefault="00F52466" w:rsidP="004D56EE">
            <w:pPr>
              <w:spacing w:after="0" w:line="240" w:lineRule="auto"/>
            </w:pPr>
            <w:r>
              <w:t>North Ward</w:t>
            </w:r>
          </w:p>
        </w:tc>
        <w:tc>
          <w:tcPr>
            <w:tcW w:w="1710" w:type="dxa"/>
          </w:tcPr>
          <w:p w14:paraId="70ED1575" w14:textId="7500CC93" w:rsidR="00F52466" w:rsidRDefault="00F52466" w:rsidP="004D56E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525D1733" w14:textId="5E3910B7" w:rsidR="00F52466" w:rsidRPr="007C7BB3" w:rsidRDefault="00473F59" w:rsidP="004D56EE">
            <w:pPr>
              <w:spacing w:after="0" w:line="240" w:lineRule="auto"/>
              <w:jc w:val="right"/>
            </w:pPr>
            <w:r w:rsidRPr="00473F59">
              <w:t>56</w:t>
            </w:r>
            <w:r w:rsidR="00145E61">
              <w:t>,</w:t>
            </w:r>
            <w:r w:rsidRPr="00473F59">
              <w:t>715</w:t>
            </w:r>
          </w:p>
        </w:tc>
        <w:tc>
          <w:tcPr>
            <w:tcW w:w="1701" w:type="dxa"/>
          </w:tcPr>
          <w:p w14:paraId="584FD65E" w14:textId="09E6544B" w:rsidR="00F52466" w:rsidRPr="007C7BB3" w:rsidRDefault="00BC1190" w:rsidP="004D56EE">
            <w:pPr>
              <w:spacing w:after="0" w:line="240" w:lineRule="auto"/>
              <w:jc w:val="right"/>
            </w:pPr>
            <w:r>
              <w:t>+</w:t>
            </w:r>
            <w:r w:rsidRPr="00E67374">
              <w:t>21.7</w:t>
            </w:r>
            <w:r>
              <w:t>%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2D3CF7BE" w:rsidR="00043421" w:rsidRPr="007C7BB3" w:rsidRDefault="00F52466" w:rsidP="004D56EE">
            <w:pPr>
              <w:spacing w:after="0" w:line="240" w:lineRule="auto"/>
            </w:pPr>
            <w:r>
              <w:t>South East Ward</w:t>
            </w:r>
          </w:p>
        </w:tc>
        <w:tc>
          <w:tcPr>
            <w:tcW w:w="1710" w:type="dxa"/>
          </w:tcPr>
          <w:p w14:paraId="3E2481E2" w14:textId="16F8F5BD" w:rsidR="00043421" w:rsidRPr="007C7BB3" w:rsidRDefault="00F52466" w:rsidP="004D56E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701" w:type="dxa"/>
          </w:tcPr>
          <w:p w14:paraId="5DFBF4C6" w14:textId="6CF06AAB" w:rsidR="00043421" w:rsidRPr="007C7BB3" w:rsidRDefault="00145E61" w:rsidP="004D56EE">
            <w:pPr>
              <w:spacing w:after="0" w:line="240" w:lineRule="auto"/>
              <w:jc w:val="right"/>
            </w:pPr>
            <w:r w:rsidRPr="00145E61">
              <w:t>55,221</w:t>
            </w:r>
          </w:p>
        </w:tc>
        <w:tc>
          <w:tcPr>
            <w:tcW w:w="1701" w:type="dxa"/>
          </w:tcPr>
          <w:p w14:paraId="52FFF372" w14:textId="6DCF5914" w:rsidR="00043421" w:rsidRPr="007C7BB3" w:rsidRDefault="00BC1190" w:rsidP="004D56EE">
            <w:pPr>
              <w:spacing w:after="0" w:line="240" w:lineRule="auto"/>
              <w:jc w:val="right"/>
            </w:pPr>
            <w:r w:rsidRPr="00BC1190">
              <w:t>-11.13</w:t>
            </w:r>
            <w:r w:rsidR="00655768">
              <w:t>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5BA54497" w:rsidR="00043421" w:rsidRPr="007C7BB3" w:rsidRDefault="00F52466" w:rsidP="004D56EE">
            <w:pPr>
              <w:spacing w:after="0" w:line="240" w:lineRule="auto"/>
            </w:pPr>
            <w:r>
              <w:t>South West Ward</w:t>
            </w:r>
          </w:p>
        </w:tc>
        <w:tc>
          <w:tcPr>
            <w:tcW w:w="1710" w:type="dxa"/>
          </w:tcPr>
          <w:p w14:paraId="7C447210" w14:textId="6E4548FE" w:rsidR="00043421" w:rsidRPr="007C7BB3" w:rsidRDefault="00F52466" w:rsidP="004D56E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701" w:type="dxa"/>
          </w:tcPr>
          <w:p w14:paraId="5E42FE41" w14:textId="31C4287D" w:rsidR="00043421" w:rsidRPr="007C7BB3" w:rsidRDefault="00A6722A" w:rsidP="004D56EE">
            <w:pPr>
              <w:spacing w:after="0" w:line="240" w:lineRule="auto"/>
              <w:jc w:val="right"/>
            </w:pPr>
            <w:r w:rsidRPr="00A6722A">
              <w:t>58,933</w:t>
            </w:r>
          </w:p>
        </w:tc>
        <w:tc>
          <w:tcPr>
            <w:tcW w:w="1701" w:type="dxa"/>
          </w:tcPr>
          <w:p w14:paraId="43982C12" w14:textId="7AE45793" w:rsidR="00043421" w:rsidRPr="007C7BB3" w:rsidRDefault="000A63A0" w:rsidP="004D56EE">
            <w:pPr>
              <w:spacing w:after="0" w:line="240" w:lineRule="auto"/>
              <w:jc w:val="right"/>
            </w:pPr>
            <w:r w:rsidRPr="000A63A0">
              <w:t>-5.15</w:t>
            </w:r>
            <w:r>
              <w:t>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6581B335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F52466">
        <w:t>490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23FB1F0F" w:rsidR="00E36B4A" w:rsidRDefault="00F52466" w:rsidP="00E36B4A">
      <w:pPr>
        <w:pStyle w:val="Body"/>
      </w:pPr>
      <w:r>
        <w:t>348.2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137787C6" w:rsidR="00D4462E" w:rsidRPr="00D4462E" w:rsidRDefault="00F52466" w:rsidP="00881EBC">
      <w:r>
        <w:t>15,533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5C2A8A26" w:rsidR="004B7D1A" w:rsidRDefault="00F52466" w:rsidP="00846705">
      <w:pPr>
        <w:pStyle w:val="Body"/>
      </w:pPr>
      <w:r>
        <w:t>229,396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2EF735C" w:rsidR="004B7D1A" w:rsidRPr="004B7D1A" w:rsidRDefault="00F52466" w:rsidP="004B7D1A">
      <w:r w:rsidRPr="00F52466">
        <w:t xml:space="preserve">4.2 </w:t>
      </w:r>
      <w:r w:rsidR="004B7D1A" w:rsidRPr="00F52466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05DDC093" w14:textId="77777777" w:rsidR="00E94C05" w:rsidRDefault="00E94C05" w:rsidP="00B316AF">
      <w:pPr>
        <w:pStyle w:val="Body"/>
        <w:jc w:val="right"/>
      </w:pPr>
    </w:p>
    <w:p w14:paraId="5C7E182B" w14:textId="12E2121E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7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4BFA3F21" w14:textId="5671D1E9" w:rsidR="00E2340E" w:rsidRDefault="00B5311F" w:rsidP="000B5F1A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6B4C7069" w14:textId="08F24052" w:rsidR="000B5F1A" w:rsidRDefault="00CB2B1C" w:rsidP="00724088">
      <w:r>
        <w:rPr>
          <w:noProof/>
        </w:rPr>
        <w:drawing>
          <wp:inline distT="0" distB="0" distL="0" distR="0" wp14:anchorId="1F10DAAC" wp14:editId="41AC4D82">
            <wp:extent cx="6116320" cy="8652510"/>
            <wp:effectExtent l="0" t="0" r="0" b="0"/>
            <wp:docPr id="9" name="Picture 9" descr="Map of Whittlesea City Council divided by locality (suburb or town). Data provided in the table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 of Whittlesea City Council divided by locality (suburb or town). Data provided in the table below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D0C1" w14:textId="7CD22B77" w:rsidR="00876CFA" w:rsidRDefault="00876CFA" w:rsidP="004D1C77"/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324F0323" w:rsidR="00876CFA" w:rsidRDefault="00F52466" w:rsidP="007D2859">
      <w:pPr>
        <w:pStyle w:val="Heading2"/>
      </w:pPr>
      <w:r>
        <w:t>Whittlesea</w:t>
      </w:r>
      <w:r w:rsidR="00094704">
        <w:t xml:space="preserve"> </w:t>
      </w:r>
      <w:r w:rsidR="00BD5883">
        <w:t xml:space="preserve">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2B0912">
        <w:t>25 July 2023</w:t>
      </w:r>
    </w:p>
    <w:tbl>
      <w:tblPr>
        <w:tblStyle w:val="TableGrid"/>
        <w:tblpPr w:leftFromText="180" w:rightFromText="180" w:vertAnchor="text" w:horzAnchor="margin" w:tblpY="72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Whittlesea City Council, and the number of voters in each locality. Localities are listed alphabetically."/>
      </w:tblPr>
      <w:tblGrid>
        <w:gridCol w:w="2376"/>
        <w:gridCol w:w="1444"/>
      </w:tblGrid>
      <w:tr w:rsidR="001D787D" w14:paraId="2A94D09C" w14:textId="77777777" w:rsidTr="001D7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594C960B" w14:textId="77777777" w:rsidR="001D787D" w:rsidRDefault="001D787D" w:rsidP="001D787D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44" w:type="dxa"/>
            <w:shd w:val="clear" w:color="auto" w:fill="30285A"/>
            <w:vAlign w:val="center"/>
          </w:tcPr>
          <w:p w14:paraId="6A250DF1" w14:textId="77777777" w:rsidR="001D787D" w:rsidRDefault="001D787D" w:rsidP="001D787D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1D787D" w14:paraId="717D84BD" w14:textId="77777777" w:rsidTr="001D787D">
        <w:tc>
          <w:tcPr>
            <w:tcW w:w="2376" w:type="dxa"/>
            <w:vAlign w:val="bottom"/>
          </w:tcPr>
          <w:p w14:paraId="2A13C664" w14:textId="72D5A7F3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Beveridge</w:t>
            </w:r>
          </w:p>
        </w:tc>
        <w:tc>
          <w:tcPr>
            <w:tcW w:w="1444" w:type="dxa"/>
            <w:vAlign w:val="bottom"/>
          </w:tcPr>
          <w:p w14:paraId="53AEBC60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321</w:t>
            </w:r>
          </w:p>
        </w:tc>
      </w:tr>
      <w:tr w:rsidR="001D787D" w14:paraId="347B2460" w14:textId="77777777" w:rsidTr="001D787D">
        <w:tc>
          <w:tcPr>
            <w:tcW w:w="2376" w:type="dxa"/>
            <w:vAlign w:val="bottom"/>
          </w:tcPr>
          <w:p w14:paraId="775A4D01" w14:textId="3C07F852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Bundoora</w:t>
            </w:r>
          </w:p>
        </w:tc>
        <w:tc>
          <w:tcPr>
            <w:tcW w:w="1444" w:type="dxa"/>
            <w:vAlign w:val="bottom"/>
          </w:tcPr>
          <w:p w14:paraId="5E49136D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10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624</w:t>
            </w:r>
          </w:p>
        </w:tc>
      </w:tr>
      <w:tr w:rsidR="001D787D" w14:paraId="29DE7194" w14:textId="77777777" w:rsidTr="001D787D">
        <w:tc>
          <w:tcPr>
            <w:tcW w:w="2376" w:type="dxa"/>
            <w:vAlign w:val="bottom"/>
          </w:tcPr>
          <w:p w14:paraId="732F404D" w14:textId="0EA0971C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Donnybrook</w:t>
            </w:r>
          </w:p>
        </w:tc>
        <w:tc>
          <w:tcPr>
            <w:tcW w:w="1444" w:type="dxa"/>
            <w:vAlign w:val="bottom"/>
          </w:tcPr>
          <w:p w14:paraId="76C2CA79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3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925</w:t>
            </w:r>
          </w:p>
        </w:tc>
      </w:tr>
      <w:tr w:rsidR="001D787D" w14:paraId="14E99002" w14:textId="77777777" w:rsidTr="001D787D">
        <w:tc>
          <w:tcPr>
            <w:tcW w:w="2376" w:type="dxa"/>
            <w:vAlign w:val="bottom"/>
          </w:tcPr>
          <w:p w14:paraId="55B80AB7" w14:textId="7D319C3B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Doreen</w:t>
            </w:r>
          </w:p>
        </w:tc>
        <w:tc>
          <w:tcPr>
            <w:tcW w:w="1444" w:type="dxa"/>
            <w:vAlign w:val="bottom"/>
          </w:tcPr>
          <w:p w14:paraId="107FE10E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19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752</w:t>
            </w:r>
          </w:p>
        </w:tc>
      </w:tr>
      <w:tr w:rsidR="001D787D" w14:paraId="6F885CD9" w14:textId="77777777" w:rsidTr="001D787D">
        <w:tc>
          <w:tcPr>
            <w:tcW w:w="2376" w:type="dxa"/>
            <w:vAlign w:val="bottom"/>
          </w:tcPr>
          <w:p w14:paraId="5F465FDC" w14:textId="2AF781E9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 xml:space="preserve">Eden </w:t>
            </w:r>
            <w:r w:rsidR="003E1E9C" w:rsidRPr="005146A3">
              <w:rPr>
                <w:rFonts w:cs="Arial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1444" w:type="dxa"/>
            <w:vAlign w:val="bottom"/>
          </w:tcPr>
          <w:p w14:paraId="29D87189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008</w:t>
            </w:r>
          </w:p>
        </w:tc>
      </w:tr>
      <w:tr w:rsidR="001D787D" w14:paraId="0731E477" w14:textId="77777777" w:rsidTr="001D787D">
        <w:tc>
          <w:tcPr>
            <w:tcW w:w="2376" w:type="dxa"/>
            <w:vAlign w:val="bottom"/>
          </w:tcPr>
          <w:p w14:paraId="5D5EE6FE" w14:textId="7DAB4B15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Epping</w:t>
            </w:r>
          </w:p>
        </w:tc>
        <w:tc>
          <w:tcPr>
            <w:tcW w:w="1444" w:type="dxa"/>
            <w:vAlign w:val="bottom"/>
          </w:tcPr>
          <w:p w14:paraId="1CD08959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23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423</w:t>
            </w:r>
          </w:p>
        </w:tc>
      </w:tr>
      <w:tr w:rsidR="001D787D" w14:paraId="457B883E" w14:textId="77777777" w:rsidTr="001D787D">
        <w:tc>
          <w:tcPr>
            <w:tcW w:w="2376" w:type="dxa"/>
            <w:vAlign w:val="bottom"/>
          </w:tcPr>
          <w:p w14:paraId="20166780" w14:textId="55830B85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Humevale</w:t>
            </w:r>
          </w:p>
        </w:tc>
        <w:tc>
          <w:tcPr>
            <w:tcW w:w="1444" w:type="dxa"/>
            <w:vAlign w:val="bottom"/>
          </w:tcPr>
          <w:p w14:paraId="168D4ACE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280</w:t>
            </w:r>
          </w:p>
        </w:tc>
      </w:tr>
      <w:tr w:rsidR="001D787D" w14:paraId="2FB0571A" w14:textId="77777777" w:rsidTr="001D787D">
        <w:tc>
          <w:tcPr>
            <w:tcW w:w="2376" w:type="dxa"/>
            <w:vAlign w:val="bottom"/>
          </w:tcPr>
          <w:p w14:paraId="2F269056" w14:textId="4F9CE335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Kinglake west</w:t>
            </w:r>
          </w:p>
        </w:tc>
        <w:tc>
          <w:tcPr>
            <w:tcW w:w="1444" w:type="dxa"/>
            <w:vAlign w:val="bottom"/>
          </w:tcPr>
          <w:p w14:paraId="757BF69A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69</w:t>
            </w:r>
          </w:p>
        </w:tc>
      </w:tr>
      <w:tr w:rsidR="001D787D" w14:paraId="310EE0ED" w14:textId="77777777" w:rsidTr="001D787D">
        <w:tc>
          <w:tcPr>
            <w:tcW w:w="2376" w:type="dxa"/>
            <w:vAlign w:val="bottom"/>
          </w:tcPr>
          <w:p w14:paraId="1B0A3C51" w14:textId="138807AB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Lalor</w:t>
            </w:r>
          </w:p>
        </w:tc>
        <w:tc>
          <w:tcPr>
            <w:tcW w:w="1444" w:type="dxa"/>
            <w:vAlign w:val="bottom"/>
          </w:tcPr>
          <w:p w14:paraId="72B8A7EB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16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694</w:t>
            </w:r>
          </w:p>
        </w:tc>
      </w:tr>
      <w:tr w:rsidR="001D787D" w14:paraId="355B05E7" w14:textId="77777777" w:rsidTr="001D787D">
        <w:tc>
          <w:tcPr>
            <w:tcW w:w="2376" w:type="dxa"/>
            <w:vAlign w:val="bottom"/>
          </w:tcPr>
          <w:p w14:paraId="22D7B5FF" w14:textId="35A521FA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Mernda</w:t>
            </w:r>
          </w:p>
        </w:tc>
        <w:tc>
          <w:tcPr>
            <w:tcW w:w="1444" w:type="dxa"/>
            <w:vAlign w:val="bottom"/>
          </w:tcPr>
          <w:p w14:paraId="486DBF91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16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416</w:t>
            </w:r>
          </w:p>
        </w:tc>
      </w:tr>
      <w:tr w:rsidR="001D787D" w14:paraId="1D5B5830" w14:textId="77777777" w:rsidTr="001D787D">
        <w:tc>
          <w:tcPr>
            <w:tcW w:w="2376" w:type="dxa"/>
            <w:vAlign w:val="bottom"/>
          </w:tcPr>
          <w:p w14:paraId="7FFE3BCA" w14:textId="2F00B7A1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 xml:space="preserve">Mill </w:t>
            </w:r>
            <w:r w:rsidR="003E1E9C" w:rsidRPr="005146A3">
              <w:rPr>
                <w:rFonts w:cs="Arial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1444" w:type="dxa"/>
            <w:vAlign w:val="bottom"/>
          </w:tcPr>
          <w:p w14:paraId="5748C285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22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680</w:t>
            </w:r>
          </w:p>
        </w:tc>
      </w:tr>
      <w:tr w:rsidR="001D787D" w14:paraId="6540E1FE" w14:textId="77777777" w:rsidTr="001D787D">
        <w:tc>
          <w:tcPr>
            <w:tcW w:w="2376" w:type="dxa"/>
            <w:vAlign w:val="bottom"/>
          </w:tcPr>
          <w:p w14:paraId="5452E42E" w14:textId="6C4369B4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 xml:space="preserve">South </w:t>
            </w:r>
            <w:r w:rsidR="003E1E9C" w:rsidRPr="005146A3">
              <w:rPr>
                <w:rFonts w:cs="Arial"/>
                <w:color w:val="000000"/>
                <w:sz w:val="24"/>
                <w:szCs w:val="24"/>
              </w:rPr>
              <w:t>Morang</w:t>
            </w:r>
          </w:p>
        </w:tc>
        <w:tc>
          <w:tcPr>
            <w:tcW w:w="1444" w:type="dxa"/>
            <w:vAlign w:val="bottom"/>
          </w:tcPr>
          <w:p w14:paraId="0B08A223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18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271</w:t>
            </w:r>
          </w:p>
        </w:tc>
      </w:tr>
      <w:tr w:rsidR="001D787D" w14:paraId="4819AB90" w14:textId="77777777" w:rsidTr="001D787D">
        <w:tc>
          <w:tcPr>
            <w:tcW w:w="2376" w:type="dxa"/>
            <w:vAlign w:val="bottom"/>
          </w:tcPr>
          <w:p w14:paraId="052ABFD8" w14:textId="7CDA3289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Thomastown</w:t>
            </w:r>
          </w:p>
        </w:tc>
        <w:tc>
          <w:tcPr>
            <w:tcW w:w="1444" w:type="dxa"/>
            <w:vAlign w:val="bottom"/>
          </w:tcPr>
          <w:p w14:paraId="540E6A87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15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982</w:t>
            </w:r>
          </w:p>
        </w:tc>
      </w:tr>
      <w:tr w:rsidR="001D787D" w14:paraId="3F1A35FA" w14:textId="77777777" w:rsidTr="001D787D">
        <w:tc>
          <w:tcPr>
            <w:tcW w:w="2376" w:type="dxa"/>
            <w:vAlign w:val="bottom"/>
          </w:tcPr>
          <w:p w14:paraId="1BD78A15" w14:textId="456B1D2F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Whittlesea</w:t>
            </w:r>
          </w:p>
        </w:tc>
        <w:tc>
          <w:tcPr>
            <w:tcW w:w="1444" w:type="dxa"/>
            <w:vAlign w:val="bottom"/>
          </w:tcPr>
          <w:p w14:paraId="36D90825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4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641</w:t>
            </w:r>
          </w:p>
        </w:tc>
      </w:tr>
      <w:tr w:rsidR="001D787D" w14:paraId="2EB38F19" w14:textId="77777777" w:rsidTr="001D787D">
        <w:tc>
          <w:tcPr>
            <w:tcW w:w="2376" w:type="dxa"/>
            <w:vAlign w:val="bottom"/>
          </w:tcPr>
          <w:p w14:paraId="6B959D0C" w14:textId="76A4A845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Wollert</w:t>
            </w:r>
          </w:p>
        </w:tc>
        <w:tc>
          <w:tcPr>
            <w:tcW w:w="1444" w:type="dxa"/>
            <w:vAlign w:val="bottom"/>
          </w:tcPr>
          <w:p w14:paraId="65B6BE68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16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Pr="005146A3">
              <w:rPr>
                <w:rFonts w:cs="Arial"/>
                <w:color w:val="000000"/>
                <w:sz w:val="24"/>
                <w:szCs w:val="24"/>
              </w:rPr>
              <w:t>395</w:t>
            </w:r>
          </w:p>
        </w:tc>
      </w:tr>
      <w:tr w:rsidR="001D787D" w14:paraId="3AFA44A6" w14:textId="77777777" w:rsidTr="001D787D">
        <w:tc>
          <w:tcPr>
            <w:tcW w:w="2376" w:type="dxa"/>
            <w:vAlign w:val="bottom"/>
          </w:tcPr>
          <w:p w14:paraId="39857A77" w14:textId="4614C8A0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Woodstock</w:t>
            </w:r>
          </w:p>
        </w:tc>
        <w:tc>
          <w:tcPr>
            <w:tcW w:w="1444" w:type="dxa"/>
            <w:vAlign w:val="bottom"/>
          </w:tcPr>
          <w:p w14:paraId="50B7EC8A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178</w:t>
            </w:r>
          </w:p>
        </w:tc>
      </w:tr>
      <w:tr w:rsidR="001D787D" w14:paraId="5214E94A" w14:textId="77777777" w:rsidTr="001D787D">
        <w:tc>
          <w:tcPr>
            <w:tcW w:w="2376" w:type="dxa"/>
            <w:vAlign w:val="bottom"/>
          </w:tcPr>
          <w:p w14:paraId="2E2857F7" w14:textId="00B8E582" w:rsidR="001D787D" w:rsidRPr="005146A3" w:rsidRDefault="005329EC" w:rsidP="001D787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 xml:space="preserve">Yan </w:t>
            </w:r>
            <w:r w:rsidR="003E1E9C" w:rsidRPr="005146A3">
              <w:rPr>
                <w:rFonts w:cs="Arial"/>
                <w:color w:val="000000"/>
                <w:sz w:val="24"/>
                <w:szCs w:val="24"/>
              </w:rPr>
              <w:t>Yean</w:t>
            </w:r>
          </w:p>
        </w:tc>
        <w:tc>
          <w:tcPr>
            <w:tcW w:w="1444" w:type="dxa"/>
            <w:vAlign w:val="bottom"/>
          </w:tcPr>
          <w:p w14:paraId="5CC37964" w14:textId="77777777" w:rsidR="001D787D" w:rsidRPr="005146A3" w:rsidRDefault="001D787D" w:rsidP="001D787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5146A3">
              <w:rPr>
                <w:rFonts w:cs="Arial"/>
                <w:color w:val="000000"/>
                <w:sz w:val="24"/>
                <w:szCs w:val="24"/>
              </w:rPr>
              <w:t>210</w:t>
            </w:r>
          </w:p>
        </w:tc>
      </w:tr>
    </w:tbl>
    <w:p w14:paraId="70FDE234" w14:textId="56DBE4F1" w:rsidR="001D787D" w:rsidRDefault="001D787D" w:rsidP="001D787D"/>
    <w:p w14:paraId="2DE93E8E" w14:textId="77777777" w:rsidR="00A51DFB" w:rsidRPr="003214D1" w:rsidRDefault="00A51DFB" w:rsidP="001D787D"/>
    <w:sectPr w:rsidR="00A51DFB" w:rsidRPr="003214D1" w:rsidSect="001D787D">
      <w:footerReference w:type="default" r:id="rId19"/>
      <w:pgSz w:w="11906" w:h="16838" w:code="9"/>
      <w:pgMar w:top="73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AD7D" w14:textId="77777777" w:rsidR="000F2EB1" w:rsidRDefault="000F2EB1" w:rsidP="00665F91">
      <w:r>
        <w:separator/>
      </w:r>
    </w:p>
  </w:endnote>
  <w:endnote w:type="continuationSeparator" w:id="0">
    <w:p w14:paraId="2A4E1D93" w14:textId="77777777" w:rsidR="000F2EB1" w:rsidRDefault="000F2EB1" w:rsidP="00665F91">
      <w:r>
        <w:continuationSeparator/>
      </w:r>
    </w:p>
  </w:endnote>
  <w:endnote w:type="continuationNotice" w:id="1">
    <w:p w14:paraId="26B822CC" w14:textId="77777777" w:rsidR="000F2EB1" w:rsidRDefault="000F2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707D" w14:textId="77777777" w:rsidR="000F2EB1" w:rsidRDefault="000F2EB1" w:rsidP="00665F91">
      <w:r>
        <w:separator/>
      </w:r>
    </w:p>
  </w:footnote>
  <w:footnote w:type="continuationSeparator" w:id="0">
    <w:p w14:paraId="3BD476A6" w14:textId="77777777" w:rsidR="000F2EB1" w:rsidRDefault="000F2EB1" w:rsidP="00665F91">
      <w:r>
        <w:continuationSeparator/>
      </w:r>
    </w:p>
  </w:footnote>
  <w:footnote w:type="continuationNotice" w:id="1">
    <w:p w14:paraId="705FF477" w14:textId="77777777" w:rsidR="000F2EB1" w:rsidRDefault="000F2E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3475">
    <w:abstractNumId w:val="5"/>
  </w:num>
  <w:num w:numId="2" w16cid:durableId="1274822731">
    <w:abstractNumId w:val="1"/>
  </w:num>
  <w:num w:numId="3" w16cid:durableId="1202985484">
    <w:abstractNumId w:val="7"/>
  </w:num>
  <w:num w:numId="4" w16cid:durableId="877207050">
    <w:abstractNumId w:val="6"/>
  </w:num>
  <w:num w:numId="5" w16cid:durableId="156581487">
    <w:abstractNumId w:val="0"/>
  </w:num>
  <w:num w:numId="6" w16cid:durableId="568929960">
    <w:abstractNumId w:val="3"/>
  </w:num>
  <w:num w:numId="7" w16cid:durableId="319039877">
    <w:abstractNumId w:val="8"/>
  </w:num>
  <w:num w:numId="8" w16cid:durableId="1492479250">
    <w:abstractNumId w:val="2"/>
  </w:num>
  <w:num w:numId="9" w16cid:durableId="186701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4D0A"/>
    <w:rsid w:val="0000692A"/>
    <w:rsid w:val="00007254"/>
    <w:rsid w:val="000076F3"/>
    <w:rsid w:val="00007F79"/>
    <w:rsid w:val="00010993"/>
    <w:rsid w:val="00011FA0"/>
    <w:rsid w:val="00012F0E"/>
    <w:rsid w:val="00013529"/>
    <w:rsid w:val="000236A6"/>
    <w:rsid w:val="00025831"/>
    <w:rsid w:val="00026B05"/>
    <w:rsid w:val="000273AA"/>
    <w:rsid w:val="000378E4"/>
    <w:rsid w:val="00037C09"/>
    <w:rsid w:val="000433C2"/>
    <w:rsid w:val="00043421"/>
    <w:rsid w:val="0004386B"/>
    <w:rsid w:val="0004744F"/>
    <w:rsid w:val="00052A15"/>
    <w:rsid w:val="0005526F"/>
    <w:rsid w:val="00063928"/>
    <w:rsid w:val="00065223"/>
    <w:rsid w:val="00073307"/>
    <w:rsid w:val="00074988"/>
    <w:rsid w:val="00074DB9"/>
    <w:rsid w:val="0007549F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A405C"/>
    <w:rsid w:val="000A63A0"/>
    <w:rsid w:val="000B2E34"/>
    <w:rsid w:val="000B56A8"/>
    <w:rsid w:val="000B5D80"/>
    <w:rsid w:val="000B5F1A"/>
    <w:rsid w:val="000B6772"/>
    <w:rsid w:val="000B7348"/>
    <w:rsid w:val="000C42E1"/>
    <w:rsid w:val="000D1C44"/>
    <w:rsid w:val="000D5A05"/>
    <w:rsid w:val="000E0A4B"/>
    <w:rsid w:val="000E7203"/>
    <w:rsid w:val="000F2EB1"/>
    <w:rsid w:val="000F466F"/>
    <w:rsid w:val="000F5D3D"/>
    <w:rsid w:val="000F76B6"/>
    <w:rsid w:val="000F7D55"/>
    <w:rsid w:val="001028A6"/>
    <w:rsid w:val="00103BC9"/>
    <w:rsid w:val="001073BB"/>
    <w:rsid w:val="00121C83"/>
    <w:rsid w:val="00122E13"/>
    <w:rsid w:val="00132435"/>
    <w:rsid w:val="00132DC6"/>
    <w:rsid w:val="0013367A"/>
    <w:rsid w:val="00136884"/>
    <w:rsid w:val="00140337"/>
    <w:rsid w:val="00140D06"/>
    <w:rsid w:val="00143EDC"/>
    <w:rsid w:val="0014562F"/>
    <w:rsid w:val="00145A5D"/>
    <w:rsid w:val="00145E61"/>
    <w:rsid w:val="00147658"/>
    <w:rsid w:val="00147E77"/>
    <w:rsid w:val="00150BDF"/>
    <w:rsid w:val="001557DA"/>
    <w:rsid w:val="0015595D"/>
    <w:rsid w:val="00155EFA"/>
    <w:rsid w:val="00157E83"/>
    <w:rsid w:val="001643C6"/>
    <w:rsid w:val="00171C06"/>
    <w:rsid w:val="00173C8A"/>
    <w:rsid w:val="00173DAA"/>
    <w:rsid w:val="001765BB"/>
    <w:rsid w:val="001773CC"/>
    <w:rsid w:val="0017756C"/>
    <w:rsid w:val="00180359"/>
    <w:rsid w:val="001808F0"/>
    <w:rsid w:val="00182FF8"/>
    <w:rsid w:val="0018428F"/>
    <w:rsid w:val="0018500A"/>
    <w:rsid w:val="0018543F"/>
    <w:rsid w:val="00185BB2"/>
    <w:rsid w:val="00186597"/>
    <w:rsid w:val="00186EB4"/>
    <w:rsid w:val="00191176"/>
    <w:rsid w:val="00191BE3"/>
    <w:rsid w:val="001957B1"/>
    <w:rsid w:val="00195AB1"/>
    <w:rsid w:val="00195FA2"/>
    <w:rsid w:val="001A00BE"/>
    <w:rsid w:val="001A1B9E"/>
    <w:rsid w:val="001A500D"/>
    <w:rsid w:val="001A6F98"/>
    <w:rsid w:val="001B14C0"/>
    <w:rsid w:val="001B3804"/>
    <w:rsid w:val="001B46B0"/>
    <w:rsid w:val="001B5EDE"/>
    <w:rsid w:val="001B6733"/>
    <w:rsid w:val="001C2428"/>
    <w:rsid w:val="001C2597"/>
    <w:rsid w:val="001C3374"/>
    <w:rsid w:val="001C576B"/>
    <w:rsid w:val="001D0B09"/>
    <w:rsid w:val="001D6FBC"/>
    <w:rsid w:val="001D787D"/>
    <w:rsid w:val="001E0052"/>
    <w:rsid w:val="001E0C71"/>
    <w:rsid w:val="001E6B21"/>
    <w:rsid w:val="001F22A6"/>
    <w:rsid w:val="001F2312"/>
    <w:rsid w:val="001F2777"/>
    <w:rsid w:val="001F32B9"/>
    <w:rsid w:val="001F55A7"/>
    <w:rsid w:val="001F7026"/>
    <w:rsid w:val="002012D1"/>
    <w:rsid w:val="00202E3A"/>
    <w:rsid w:val="00205107"/>
    <w:rsid w:val="00206954"/>
    <w:rsid w:val="002109AD"/>
    <w:rsid w:val="00212074"/>
    <w:rsid w:val="00212E95"/>
    <w:rsid w:val="00214AE7"/>
    <w:rsid w:val="00215B1D"/>
    <w:rsid w:val="00216173"/>
    <w:rsid w:val="002166EB"/>
    <w:rsid w:val="00227530"/>
    <w:rsid w:val="002507C5"/>
    <w:rsid w:val="0025212F"/>
    <w:rsid w:val="002528BB"/>
    <w:rsid w:val="002572E6"/>
    <w:rsid w:val="00257DAA"/>
    <w:rsid w:val="0026053F"/>
    <w:rsid w:val="0026150E"/>
    <w:rsid w:val="00262368"/>
    <w:rsid w:val="00265ECE"/>
    <w:rsid w:val="00267D9B"/>
    <w:rsid w:val="00272D6F"/>
    <w:rsid w:val="00274D03"/>
    <w:rsid w:val="0027708F"/>
    <w:rsid w:val="002779D5"/>
    <w:rsid w:val="00280596"/>
    <w:rsid w:val="0028492E"/>
    <w:rsid w:val="00285F0A"/>
    <w:rsid w:val="002910DF"/>
    <w:rsid w:val="0029262C"/>
    <w:rsid w:val="00293440"/>
    <w:rsid w:val="002941A0"/>
    <w:rsid w:val="00296F9B"/>
    <w:rsid w:val="002A11CD"/>
    <w:rsid w:val="002A4524"/>
    <w:rsid w:val="002A763F"/>
    <w:rsid w:val="002B0912"/>
    <w:rsid w:val="002B211C"/>
    <w:rsid w:val="002B2829"/>
    <w:rsid w:val="002B2DDA"/>
    <w:rsid w:val="002B4B1B"/>
    <w:rsid w:val="002C0D24"/>
    <w:rsid w:val="002C155C"/>
    <w:rsid w:val="002C3D1E"/>
    <w:rsid w:val="002C3FB1"/>
    <w:rsid w:val="002C6760"/>
    <w:rsid w:val="002D5409"/>
    <w:rsid w:val="002D55D8"/>
    <w:rsid w:val="002E073D"/>
    <w:rsid w:val="002E3548"/>
    <w:rsid w:val="002F1E32"/>
    <w:rsid w:val="002F4763"/>
    <w:rsid w:val="002F6FA8"/>
    <w:rsid w:val="00300875"/>
    <w:rsid w:val="003011AE"/>
    <w:rsid w:val="00303185"/>
    <w:rsid w:val="003033FC"/>
    <w:rsid w:val="00305C12"/>
    <w:rsid w:val="00306648"/>
    <w:rsid w:val="0031024F"/>
    <w:rsid w:val="003102E1"/>
    <w:rsid w:val="00312E4E"/>
    <w:rsid w:val="00315C79"/>
    <w:rsid w:val="00320B8E"/>
    <w:rsid w:val="003234E6"/>
    <w:rsid w:val="003247B6"/>
    <w:rsid w:val="00324AA1"/>
    <w:rsid w:val="0032506E"/>
    <w:rsid w:val="00330F62"/>
    <w:rsid w:val="00337881"/>
    <w:rsid w:val="00340C87"/>
    <w:rsid w:val="00343D62"/>
    <w:rsid w:val="0034417D"/>
    <w:rsid w:val="00344E9F"/>
    <w:rsid w:val="00345F46"/>
    <w:rsid w:val="003478AD"/>
    <w:rsid w:val="00357BE0"/>
    <w:rsid w:val="00361394"/>
    <w:rsid w:val="003629AD"/>
    <w:rsid w:val="00370349"/>
    <w:rsid w:val="00373075"/>
    <w:rsid w:val="003730AE"/>
    <w:rsid w:val="00373A04"/>
    <w:rsid w:val="00376B42"/>
    <w:rsid w:val="003859CB"/>
    <w:rsid w:val="00385E80"/>
    <w:rsid w:val="003903F7"/>
    <w:rsid w:val="00392C32"/>
    <w:rsid w:val="003951A0"/>
    <w:rsid w:val="003A046E"/>
    <w:rsid w:val="003A14C0"/>
    <w:rsid w:val="003A774E"/>
    <w:rsid w:val="003B0839"/>
    <w:rsid w:val="003B39C6"/>
    <w:rsid w:val="003B3F34"/>
    <w:rsid w:val="003C13AC"/>
    <w:rsid w:val="003C4B77"/>
    <w:rsid w:val="003C5557"/>
    <w:rsid w:val="003D053D"/>
    <w:rsid w:val="003D10A3"/>
    <w:rsid w:val="003D2EEF"/>
    <w:rsid w:val="003D489C"/>
    <w:rsid w:val="003D6EA6"/>
    <w:rsid w:val="003E054A"/>
    <w:rsid w:val="003E1E9C"/>
    <w:rsid w:val="003E2935"/>
    <w:rsid w:val="003E4A3D"/>
    <w:rsid w:val="003E551C"/>
    <w:rsid w:val="003F1E90"/>
    <w:rsid w:val="003F7F9E"/>
    <w:rsid w:val="004051A1"/>
    <w:rsid w:val="00405C5B"/>
    <w:rsid w:val="00405D67"/>
    <w:rsid w:val="00407988"/>
    <w:rsid w:val="00410B7F"/>
    <w:rsid w:val="00412438"/>
    <w:rsid w:val="00414CC7"/>
    <w:rsid w:val="00417353"/>
    <w:rsid w:val="0042135D"/>
    <w:rsid w:val="00423446"/>
    <w:rsid w:val="00431CB7"/>
    <w:rsid w:val="0043629D"/>
    <w:rsid w:val="004366FC"/>
    <w:rsid w:val="004416AD"/>
    <w:rsid w:val="00442535"/>
    <w:rsid w:val="00445942"/>
    <w:rsid w:val="004463DB"/>
    <w:rsid w:val="0045156E"/>
    <w:rsid w:val="0045169C"/>
    <w:rsid w:val="00455865"/>
    <w:rsid w:val="00457521"/>
    <w:rsid w:val="00457E46"/>
    <w:rsid w:val="00463A44"/>
    <w:rsid w:val="00464B92"/>
    <w:rsid w:val="00464EB3"/>
    <w:rsid w:val="004679DA"/>
    <w:rsid w:val="0047242A"/>
    <w:rsid w:val="004731E0"/>
    <w:rsid w:val="004736B1"/>
    <w:rsid w:val="00473F59"/>
    <w:rsid w:val="00476830"/>
    <w:rsid w:val="004855CE"/>
    <w:rsid w:val="004A0EEE"/>
    <w:rsid w:val="004A7F31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2771"/>
    <w:rsid w:val="004C6598"/>
    <w:rsid w:val="004C6A7B"/>
    <w:rsid w:val="004C6E04"/>
    <w:rsid w:val="004D1C77"/>
    <w:rsid w:val="004D2588"/>
    <w:rsid w:val="004D5511"/>
    <w:rsid w:val="004D56EE"/>
    <w:rsid w:val="004D581F"/>
    <w:rsid w:val="004D621B"/>
    <w:rsid w:val="004E3072"/>
    <w:rsid w:val="004E3ECD"/>
    <w:rsid w:val="004E4336"/>
    <w:rsid w:val="004E4AFD"/>
    <w:rsid w:val="004E5E6C"/>
    <w:rsid w:val="004F0EAE"/>
    <w:rsid w:val="005036FB"/>
    <w:rsid w:val="00505AB8"/>
    <w:rsid w:val="00506059"/>
    <w:rsid w:val="00506DB0"/>
    <w:rsid w:val="005118F9"/>
    <w:rsid w:val="00512C63"/>
    <w:rsid w:val="00514643"/>
    <w:rsid w:val="005146A3"/>
    <w:rsid w:val="0051531D"/>
    <w:rsid w:val="0051594E"/>
    <w:rsid w:val="0051766D"/>
    <w:rsid w:val="005270AD"/>
    <w:rsid w:val="00530049"/>
    <w:rsid w:val="00530ECB"/>
    <w:rsid w:val="00531AD6"/>
    <w:rsid w:val="005329EC"/>
    <w:rsid w:val="00533759"/>
    <w:rsid w:val="00536B37"/>
    <w:rsid w:val="00536B67"/>
    <w:rsid w:val="005371B2"/>
    <w:rsid w:val="005410AC"/>
    <w:rsid w:val="005410DF"/>
    <w:rsid w:val="00541A64"/>
    <w:rsid w:val="00542E61"/>
    <w:rsid w:val="005434F9"/>
    <w:rsid w:val="00543679"/>
    <w:rsid w:val="00543739"/>
    <w:rsid w:val="0054466B"/>
    <w:rsid w:val="00550C1A"/>
    <w:rsid w:val="0055232C"/>
    <w:rsid w:val="00554EE4"/>
    <w:rsid w:val="0055573B"/>
    <w:rsid w:val="00555802"/>
    <w:rsid w:val="0055608C"/>
    <w:rsid w:val="005560E8"/>
    <w:rsid w:val="00560197"/>
    <w:rsid w:val="00560DDF"/>
    <w:rsid w:val="00563664"/>
    <w:rsid w:val="0056368E"/>
    <w:rsid w:val="00563B29"/>
    <w:rsid w:val="00566206"/>
    <w:rsid w:val="00566D50"/>
    <w:rsid w:val="00567FDF"/>
    <w:rsid w:val="0057191F"/>
    <w:rsid w:val="0057298A"/>
    <w:rsid w:val="00573BF1"/>
    <w:rsid w:val="00574100"/>
    <w:rsid w:val="0058199E"/>
    <w:rsid w:val="0058340C"/>
    <w:rsid w:val="0058388E"/>
    <w:rsid w:val="00587028"/>
    <w:rsid w:val="00587BE3"/>
    <w:rsid w:val="0059213D"/>
    <w:rsid w:val="00593B09"/>
    <w:rsid w:val="005972C6"/>
    <w:rsid w:val="005A3B14"/>
    <w:rsid w:val="005A3FC0"/>
    <w:rsid w:val="005A5824"/>
    <w:rsid w:val="005A67FC"/>
    <w:rsid w:val="005A7A95"/>
    <w:rsid w:val="005B02D2"/>
    <w:rsid w:val="005B090D"/>
    <w:rsid w:val="005B4AD6"/>
    <w:rsid w:val="005B66C3"/>
    <w:rsid w:val="005B683C"/>
    <w:rsid w:val="005C17A7"/>
    <w:rsid w:val="005C3B9C"/>
    <w:rsid w:val="005C4D98"/>
    <w:rsid w:val="005D3AB2"/>
    <w:rsid w:val="005D5F44"/>
    <w:rsid w:val="005D6096"/>
    <w:rsid w:val="005D6C63"/>
    <w:rsid w:val="005D76E4"/>
    <w:rsid w:val="005D7D2F"/>
    <w:rsid w:val="005E26DC"/>
    <w:rsid w:val="005E451C"/>
    <w:rsid w:val="005E4546"/>
    <w:rsid w:val="005E5DB0"/>
    <w:rsid w:val="005E6792"/>
    <w:rsid w:val="005F0ABA"/>
    <w:rsid w:val="005F2AFB"/>
    <w:rsid w:val="005F2E4C"/>
    <w:rsid w:val="006022A3"/>
    <w:rsid w:val="00603BF2"/>
    <w:rsid w:val="006045AC"/>
    <w:rsid w:val="00607BA3"/>
    <w:rsid w:val="00610697"/>
    <w:rsid w:val="006129A4"/>
    <w:rsid w:val="0061614B"/>
    <w:rsid w:val="0061652B"/>
    <w:rsid w:val="00621772"/>
    <w:rsid w:val="00621816"/>
    <w:rsid w:val="00621DEA"/>
    <w:rsid w:val="006323DA"/>
    <w:rsid w:val="00632669"/>
    <w:rsid w:val="00633318"/>
    <w:rsid w:val="00633739"/>
    <w:rsid w:val="006338B2"/>
    <w:rsid w:val="00637C45"/>
    <w:rsid w:val="006401E4"/>
    <w:rsid w:val="00645827"/>
    <w:rsid w:val="0064634A"/>
    <w:rsid w:val="00646F5C"/>
    <w:rsid w:val="006501C0"/>
    <w:rsid w:val="00654026"/>
    <w:rsid w:val="00654EF5"/>
    <w:rsid w:val="00655768"/>
    <w:rsid w:val="00660E21"/>
    <w:rsid w:val="00662011"/>
    <w:rsid w:val="0066304E"/>
    <w:rsid w:val="006646B7"/>
    <w:rsid w:val="00664AEB"/>
    <w:rsid w:val="0066586A"/>
    <w:rsid w:val="006659C6"/>
    <w:rsid w:val="00665C9D"/>
    <w:rsid w:val="00665F91"/>
    <w:rsid w:val="006675CB"/>
    <w:rsid w:val="0068056D"/>
    <w:rsid w:val="006818AE"/>
    <w:rsid w:val="00683AB2"/>
    <w:rsid w:val="0069327C"/>
    <w:rsid w:val="0069479D"/>
    <w:rsid w:val="00696F5A"/>
    <w:rsid w:val="006A294A"/>
    <w:rsid w:val="006A3925"/>
    <w:rsid w:val="006A4C08"/>
    <w:rsid w:val="006B2225"/>
    <w:rsid w:val="006B5323"/>
    <w:rsid w:val="006B6CFB"/>
    <w:rsid w:val="006C0081"/>
    <w:rsid w:val="006C0D17"/>
    <w:rsid w:val="006C16DF"/>
    <w:rsid w:val="006C197A"/>
    <w:rsid w:val="006C4B86"/>
    <w:rsid w:val="006D342E"/>
    <w:rsid w:val="006D4B8D"/>
    <w:rsid w:val="006D5570"/>
    <w:rsid w:val="006D729D"/>
    <w:rsid w:val="006D78DC"/>
    <w:rsid w:val="006E00C1"/>
    <w:rsid w:val="006E05C4"/>
    <w:rsid w:val="006E0B63"/>
    <w:rsid w:val="006E3BC8"/>
    <w:rsid w:val="006E48EF"/>
    <w:rsid w:val="006E52AE"/>
    <w:rsid w:val="006E52E9"/>
    <w:rsid w:val="006E6D4E"/>
    <w:rsid w:val="006F096A"/>
    <w:rsid w:val="006F564E"/>
    <w:rsid w:val="00700947"/>
    <w:rsid w:val="00702ECF"/>
    <w:rsid w:val="007038E7"/>
    <w:rsid w:val="00704364"/>
    <w:rsid w:val="00706BAD"/>
    <w:rsid w:val="00707861"/>
    <w:rsid w:val="00714010"/>
    <w:rsid w:val="0071548A"/>
    <w:rsid w:val="00717A44"/>
    <w:rsid w:val="00721974"/>
    <w:rsid w:val="0072203E"/>
    <w:rsid w:val="00724088"/>
    <w:rsid w:val="00725B6A"/>
    <w:rsid w:val="00733E34"/>
    <w:rsid w:val="00734AF3"/>
    <w:rsid w:val="0073556F"/>
    <w:rsid w:val="00735FA6"/>
    <w:rsid w:val="00736AAE"/>
    <w:rsid w:val="0074794E"/>
    <w:rsid w:val="0075119F"/>
    <w:rsid w:val="00752275"/>
    <w:rsid w:val="0075414E"/>
    <w:rsid w:val="00755912"/>
    <w:rsid w:val="00757292"/>
    <w:rsid w:val="007574A2"/>
    <w:rsid w:val="0076595A"/>
    <w:rsid w:val="00765ED5"/>
    <w:rsid w:val="00765EEA"/>
    <w:rsid w:val="00773D07"/>
    <w:rsid w:val="007742D3"/>
    <w:rsid w:val="00775DE7"/>
    <w:rsid w:val="0078781D"/>
    <w:rsid w:val="00787A2B"/>
    <w:rsid w:val="007913FB"/>
    <w:rsid w:val="007A194C"/>
    <w:rsid w:val="007A1AB8"/>
    <w:rsid w:val="007A2315"/>
    <w:rsid w:val="007A40D7"/>
    <w:rsid w:val="007A7027"/>
    <w:rsid w:val="007B71EF"/>
    <w:rsid w:val="007C1C4B"/>
    <w:rsid w:val="007C6584"/>
    <w:rsid w:val="007C7BB3"/>
    <w:rsid w:val="007D07BF"/>
    <w:rsid w:val="007D2859"/>
    <w:rsid w:val="007D4F8F"/>
    <w:rsid w:val="007D6A0B"/>
    <w:rsid w:val="007D7413"/>
    <w:rsid w:val="007D76EF"/>
    <w:rsid w:val="007E3730"/>
    <w:rsid w:val="007E6015"/>
    <w:rsid w:val="007E7DF0"/>
    <w:rsid w:val="007F59DB"/>
    <w:rsid w:val="008070FB"/>
    <w:rsid w:val="00810548"/>
    <w:rsid w:val="0081120D"/>
    <w:rsid w:val="00817956"/>
    <w:rsid w:val="00820A1F"/>
    <w:rsid w:val="00825118"/>
    <w:rsid w:val="00825E71"/>
    <w:rsid w:val="00826CC4"/>
    <w:rsid w:val="008276F7"/>
    <w:rsid w:val="008279E5"/>
    <w:rsid w:val="00830ACF"/>
    <w:rsid w:val="0083166F"/>
    <w:rsid w:val="0083584C"/>
    <w:rsid w:val="00835898"/>
    <w:rsid w:val="00837406"/>
    <w:rsid w:val="00844AFF"/>
    <w:rsid w:val="00845136"/>
    <w:rsid w:val="0084665D"/>
    <w:rsid w:val="00846705"/>
    <w:rsid w:val="00852B96"/>
    <w:rsid w:val="0085407E"/>
    <w:rsid w:val="00854304"/>
    <w:rsid w:val="00856673"/>
    <w:rsid w:val="008619B2"/>
    <w:rsid w:val="008622EE"/>
    <w:rsid w:val="00862776"/>
    <w:rsid w:val="00863694"/>
    <w:rsid w:val="00863BA9"/>
    <w:rsid w:val="008676A6"/>
    <w:rsid w:val="0087049F"/>
    <w:rsid w:val="00871905"/>
    <w:rsid w:val="0087655E"/>
    <w:rsid w:val="00876836"/>
    <w:rsid w:val="00876CFA"/>
    <w:rsid w:val="00877CA0"/>
    <w:rsid w:val="0088029B"/>
    <w:rsid w:val="008818FD"/>
    <w:rsid w:val="00881EBC"/>
    <w:rsid w:val="00883F89"/>
    <w:rsid w:val="0088456D"/>
    <w:rsid w:val="0088742E"/>
    <w:rsid w:val="00890813"/>
    <w:rsid w:val="00891E09"/>
    <w:rsid w:val="008A186F"/>
    <w:rsid w:val="008A1CCA"/>
    <w:rsid w:val="008A2182"/>
    <w:rsid w:val="008A7B33"/>
    <w:rsid w:val="008B1567"/>
    <w:rsid w:val="008B2746"/>
    <w:rsid w:val="008B4863"/>
    <w:rsid w:val="008B6F05"/>
    <w:rsid w:val="008B7249"/>
    <w:rsid w:val="008C33C0"/>
    <w:rsid w:val="008C5107"/>
    <w:rsid w:val="008C733A"/>
    <w:rsid w:val="008D2B38"/>
    <w:rsid w:val="008D2D52"/>
    <w:rsid w:val="008D3C12"/>
    <w:rsid w:val="008D5A81"/>
    <w:rsid w:val="008D6521"/>
    <w:rsid w:val="008E6336"/>
    <w:rsid w:val="008E7198"/>
    <w:rsid w:val="008F08CD"/>
    <w:rsid w:val="008F2E0A"/>
    <w:rsid w:val="008F4CB4"/>
    <w:rsid w:val="008F4DCC"/>
    <w:rsid w:val="008F573D"/>
    <w:rsid w:val="008F5B52"/>
    <w:rsid w:val="008F5E7D"/>
    <w:rsid w:val="008F68B0"/>
    <w:rsid w:val="00901954"/>
    <w:rsid w:val="009035DB"/>
    <w:rsid w:val="009048A8"/>
    <w:rsid w:val="0091065F"/>
    <w:rsid w:val="00911DF5"/>
    <w:rsid w:val="00916C54"/>
    <w:rsid w:val="00920889"/>
    <w:rsid w:val="00923BD5"/>
    <w:rsid w:val="009253A7"/>
    <w:rsid w:val="00931605"/>
    <w:rsid w:val="00932378"/>
    <w:rsid w:val="009350BC"/>
    <w:rsid w:val="009368E5"/>
    <w:rsid w:val="00942B5E"/>
    <w:rsid w:val="009440A9"/>
    <w:rsid w:val="0094664A"/>
    <w:rsid w:val="009468F7"/>
    <w:rsid w:val="0094715B"/>
    <w:rsid w:val="0095180D"/>
    <w:rsid w:val="00954ADD"/>
    <w:rsid w:val="00961BF1"/>
    <w:rsid w:val="00962E0A"/>
    <w:rsid w:val="0097051C"/>
    <w:rsid w:val="00971F5A"/>
    <w:rsid w:val="009738E6"/>
    <w:rsid w:val="00973BFD"/>
    <w:rsid w:val="00975DA9"/>
    <w:rsid w:val="00976546"/>
    <w:rsid w:val="00977918"/>
    <w:rsid w:val="00980B7A"/>
    <w:rsid w:val="009829DC"/>
    <w:rsid w:val="00982AA4"/>
    <w:rsid w:val="0098332F"/>
    <w:rsid w:val="009847CD"/>
    <w:rsid w:val="0098564F"/>
    <w:rsid w:val="00986DFF"/>
    <w:rsid w:val="00987132"/>
    <w:rsid w:val="0098750E"/>
    <w:rsid w:val="00990941"/>
    <w:rsid w:val="00994A67"/>
    <w:rsid w:val="009953AB"/>
    <w:rsid w:val="009953BE"/>
    <w:rsid w:val="009974D8"/>
    <w:rsid w:val="00997CBA"/>
    <w:rsid w:val="009A04D7"/>
    <w:rsid w:val="009A5969"/>
    <w:rsid w:val="009B010A"/>
    <w:rsid w:val="009B09F9"/>
    <w:rsid w:val="009B2AFC"/>
    <w:rsid w:val="009B3B4F"/>
    <w:rsid w:val="009B51A5"/>
    <w:rsid w:val="009C01B9"/>
    <w:rsid w:val="009C47EB"/>
    <w:rsid w:val="009C7919"/>
    <w:rsid w:val="009E56E2"/>
    <w:rsid w:val="009E756C"/>
    <w:rsid w:val="009E796F"/>
    <w:rsid w:val="009F13B3"/>
    <w:rsid w:val="009F6028"/>
    <w:rsid w:val="00A01820"/>
    <w:rsid w:val="00A01A95"/>
    <w:rsid w:val="00A0526D"/>
    <w:rsid w:val="00A0531D"/>
    <w:rsid w:val="00A05496"/>
    <w:rsid w:val="00A14378"/>
    <w:rsid w:val="00A16431"/>
    <w:rsid w:val="00A17DC4"/>
    <w:rsid w:val="00A203DF"/>
    <w:rsid w:val="00A20B7C"/>
    <w:rsid w:val="00A23809"/>
    <w:rsid w:val="00A23903"/>
    <w:rsid w:val="00A23C7B"/>
    <w:rsid w:val="00A3468E"/>
    <w:rsid w:val="00A363F2"/>
    <w:rsid w:val="00A374C1"/>
    <w:rsid w:val="00A4094A"/>
    <w:rsid w:val="00A42A02"/>
    <w:rsid w:val="00A42BDB"/>
    <w:rsid w:val="00A4346F"/>
    <w:rsid w:val="00A434CF"/>
    <w:rsid w:val="00A45929"/>
    <w:rsid w:val="00A4636B"/>
    <w:rsid w:val="00A47E40"/>
    <w:rsid w:val="00A51DFB"/>
    <w:rsid w:val="00A53096"/>
    <w:rsid w:val="00A534AB"/>
    <w:rsid w:val="00A5383F"/>
    <w:rsid w:val="00A55CE7"/>
    <w:rsid w:val="00A55D61"/>
    <w:rsid w:val="00A563F3"/>
    <w:rsid w:val="00A57CF6"/>
    <w:rsid w:val="00A6367D"/>
    <w:rsid w:val="00A63B49"/>
    <w:rsid w:val="00A6613F"/>
    <w:rsid w:val="00A66B53"/>
    <w:rsid w:val="00A6722A"/>
    <w:rsid w:val="00A6737A"/>
    <w:rsid w:val="00A71406"/>
    <w:rsid w:val="00A71EFB"/>
    <w:rsid w:val="00A7235E"/>
    <w:rsid w:val="00A7415D"/>
    <w:rsid w:val="00A75EAA"/>
    <w:rsid w:val="00A77C9E"/>
    <w:rsid w:val="00A81FB8"/>
    <w:rsid w:val="00A845D2"/>
    <w:rsid w:val="00A8462C"/>
    <w:rsid w:val="00A901B3"/>
    <w:rsid w:val="00A91DA7"/>
    <w:rsid w:val="00A9307B"/>
    <w:rsid w:val="00A959D7"/>
    <w:rsid w:val="00AA2E31"/>
    <w:rsid w:val="00AA527E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545"/>
    <w:rsid w:val="00AC04E5"/>
    <w:rsid w:val="00AC1D7D"/>
    <w:rsid w:val="00AC71F8"/>
    <w:rsid w:val="00AD3606"/>
    <w:rsid w:val="00AD451C"/>
    <w:rsid w:val="00AE151B"/>
    <w:rsid w:val="00AE1650"/>
    <w:rsid w:val="00AE2CA1"/>
    <w:rsid w:val="00AE5A47"/>
    <w:rsid w:val="00AF26A3"/>
    <w:rsid w:val="00AF3B63"/>
    <w:rsid w:val="00AF3BA6"/>
    <w:rsid w:val="00AF459C"/>
    <w:rsid w:val="00B00CDE"/>
    <w:rsid w:val="00B05E59"/>
    <w:rsid w:val="00B07597"/>
    <w:rsid w:val="00B110D8"/>
    <w:rsid w:val="00B146FD"/>
    <w:rsid w:val="00B148F4"/>
    <w:rsid w:val="00B16E24"/>
    <w:rsid w:val="00B2121E"/>
    <w:rsid w:val="00B23ED6"/>
    <w:rsid w:val="00B261BA"/>
    <w:rsid w:val="00B265F5"/>
    <w:rsid w:val="00B30613"/>
    <w:rsid w:val="00B316AF"/>
    <w:rsid w:val="00B33CA4"/>
    <w:rsid w:val="00B33F6C"/>
    <w:rsid w:val="00B367B5"/>
    <w:rsid w:val="00B37E0F"/>
    <w:rsid w:val="00B417FD"/>
    <w:rsid w:val="00B420AC"/>
    <w:rsid w:val="00B4326B"/>
    <w:rsid w:val="00B51CA8"/>
    <w:rsid w:val="00B51CC7"/>
    <w:rsid w:val="00B5311F"/>
    <w:rsid w:val="00B53151"/>
    <w:rsid w:val="00B5389B"/>
    <w:rsid w:val="00B560B9"/>
    <w:rsid w:val="00B60AC4"/>
    <w:rsid w:val="00B615E2"/>
    <w:rsid w:val="00B7185F"/>
    <w:rsid w:val="00B74C22"/>
    <w:rsid w:val="00B766C2"/>
    <w:rsid w:val="00B813BE"/>
    <w:rsid w:val="00B82583"/>
    <w:rsid w:val="00BA06A4"/>
    <w:rsid w:val="00BA16B5"/>
    <w:rsid w:val="00BA20B7"/>
    <w:rsid w:val="00BA26BD"/>
    <w:rsid w:val="00BA364D"/>
    <w:rsid w:val="00BA5F78"/>
    <w:rsid w:val="00BB12E3"/>
    <w:rsid w:val="00BB3020"/>
    <w:rsid w:val="00BB6631"/>
    <w:rsid w:val="00BC065D"/>
    <w:rsid w:val="00BC1190"/>
    <w:rsid w:val="00BC1851"/>
    <w:rsid w:val="00BC4593"/>
    <w:rsid w:val="00BC4668"/>
    <w:rsid w:val="00BC6B37"/>
    <w:rsid w:val="00BD5883"/>
    <w:rsid w:val="00BE7DB7"/>
    <w:rsid w:val="00BF0905"/>
    <w:rsid w:val="00BF41BB"/>
    <w:rsid w:val="00BF54F4"/>
    <w:rsid w:val="00BF5F0D"/>
    <w:rsid w:val="00C02CD4"/>
    <w:rsid w:val="00C036F9"/>
    <w:rsid w:val="00C042C8"/>
    <w:rsid w:val="00C04DAA"/>
    <w:rsid w:val="00C05524"/>
    <w:rsid w:val="00C0553B"/>
    <w:rsid w:val="00C12354"/>
    <w:rsid w:val="00C16631"/>
    <w:rsid w:val="00C17004"/>
    <w:rsid w:val="00C22C32"/>
    <w:rsid w:val="00C251FD"/>
    <w:rsid w:val="00C27F5B"/>
    <w:rsid w:val="00C318C2"/>
    <w:rsid w:val="00C33EEA"/>
    <w:rsid w:val="00C3537A"/>
    <w:rsid w:val="00C37375"/>
    <w:rsid w:val="00C4025A"/>
    <w:rsid w:val="00C41D2B"/>
    <w:rsid w:val="00C42DB5"/>
    <w:rsid w:val="00C43921"/>
    <w:rsid w:val="00C45CD1"/>
    <w:rsid w:val="00C46414"/>
    <w:rsid w:val="00C47927"/>
    <w:rsid w:val="00C50C3F"/>
    <w:rsid w:val="00C51BB8"/>
    <w:rsid w:val="00C62185"/>
    <w:rsid w:val="00C631A2"/>
    <w:rsid w:val="00C64157"/>
    <w:rsid w:val="00C66DBA"/>
    <w:rsid w:val="00C70EE1"/>
    <w:rsid w:val="00C71D47"/>
    <w:rsid w:val="00C725C1"/>
    <w:rsid w:val="00C73B77"/>
    <w:rsid w:val="00C7433B"/>
    <w:rsid w:val="00C761EB"/>
    <w:rsid w:val="00C76AB3"/>
    <w:rsid w:val="00C77233"/>
    <w:rsid w:val="00C77524"/>
    <w:rsid w:val="00C82584"/>
    <w:rsid w:val="00C83F2C"/>
    <w:rsid w:val="00C93492"/>
    <w:rsid w:val="00C93B58"/>
    <w:rsid w:val="00C9550E"/>
    <w:rsid w:val="00C95516"/>
    <w:rsid w:val="00C95700"/>
    <w:rsid w:val="00C96CDC"/>
    <w:rsid w:val="00CA1A56"/>
    <w:rsid w:val="00CA2B4D"/>
    <w:rsid w:val="00CA4850"/>
    <w:rsid w:val="00CB2B1C"/>
    <w:rsid w:val="00CB3A40"/>
    <w:rsid w:val="00CB549B"/>
    <w:rsid w:val="00CC1EAC"/>
    <w:rsid w:val="00CC42D8"/>
    <w:rsid w:val="00CC4479"/>
    <w:rsid w:val="00CC4500"/>
    <w:rsid w:val="00CC51F4"/>
    <w:rsid w:val="00CC59A4"/>
    <w:rsid w:val="00CD0480"/>
    <w:rsid w:val="00CD193E"/>
    <w:rsid w:val="00CD1D54"/>
    <w:rsid w:val="00CD276C"/>
    <w:rsid w:val="00CD4B54"/>
    <w:rsid w:val="00CD66E2"/>
    <w:rsid w:val="00CE09C4"/>
    <w:rsid w:val="00CE2CAB"/>
    <w:rsid w:val="00CE2D60"/>
    <w:rsid w:val="00CE60F8"/>
    <w:rsid w:val="00CE77A4"/>
    <w:rsid w:val="00CF142C"/>
    <w:rsid w:val="00CF34F1"/>
    <w:rsid w:val="00CF5D06"/>
    <w:rsid w:val="00D00F5F"/>
    <w:rsid w:val="00D01A4B"/>
    <w:rsid w:val="00D03E25"/>
    <w:rsid w:val="00D06E5E"/>
    <w:rsid w:val="00D0733B"/>
    <w:rsid w:val="00D103AB"/>
    <w:rsid w:val="00D112B3"/>
    <w:rsid w:val="00D1241D"/>
    <w:rsid w:val="00D14296"/>
    <w:rsid w:val="00D2080B"/>
    <w:rsid w:val="00D2138E"/>
    <w:rsid w:val="00D2248A"/>
    <w:rsid w:val="00D22DB0"/>
    <w:rsid w:val="00D2318D"/>
    <w:rsid w:val="00D2586A"/>
    <w:rsid w:val="00D262C1"/>
    <w:rsid w:val="00D2630D"/>
    <w:rsid w:val="00D3335D"/>
    <w:rsid w:val="00D36154"/>
    <w:rsid w:val="00D40401"/>
    <w:rsid w:val="00D4067B"/>
    <w:rsid w:val="00D4462E"/>
    <w:rsid w:val="00D45DF5"/>
    <w:rsid w:val="00D50183"/>
    <w:rsid w:val="00D51B66"/>
    <w:rsid w:val="00D53C14"/>
    <w:rsid w:val="00D6176D"/>
    <w:rsid w:val="00D61B86"/>
    <w:rsid w:val="00D6650F"/>
    <w:rsid w:val="00D6675B"/>
    <w:rsid w:val="00D720B5"/>
    <w:rsid w:val="00D73F02"/>
    <w:rsid w:val="00D746EC"/>
    <w:rsid w:val="00D82863"/>
    <w:rsid w:val="00D85084"/>
    <w:rsid w:val="00D853C4"/>
    <w:rsid w:val="00D8732B"/>
    <w:rsid w:val="00D96125"/>
    <w:rsid w:val="00D96F7E"/>
    <w:rsid w:val="00DA0904"/>
    <w:rsid w:val="00DA157E"/>
    <w:rsid w:val="00DA36A5"/>
    <w:rsid w:val="00DA5D69"/>
    <w:rsid w:val="00DB7705"/>
    <w:rsid w:val="00DC06B5"/>
    <w:rsid w:val="00DC2EE1"/>
    <w:rsid w:val="00DC3109"/>
    <w:rsid w:val="00DC7361"/>
    <w:rsid w:val="00DC7732"/>
    <w:rsid w:val="00DC7A22"/>
    <w:rsid w:val="00DC7B52"/>
    <w:rsid w:val="00DD5E6F"/>
    <w:rsid w:val="00DD7C2E"/>
    <w:rsid w:val="00DE168B"/>
    <w:rsid w:val="00DE24E2"/>
    <w:rsid w:val="00DE2D26"/>
    <w:rsid w:val="00DE3B58"/>
    <w:rsid w:val="00DE3E8F"/>
    <w:rsid w:val="00DF2607"/>
    <w:rsid w:val="00DF40F9"/>
    <w:rsid w:val="00DF4222"/>
    <w:rsid w:val="00DF4C85"/>
    <w:rsid w:val="00DF534C"/>
    <w:rsid w:val="00E00273"/>
    <w:rsid w:val="00E01228"/>
    <w:rsid w:val="00E02C88"/>
    <w:rsid w:val="00E062FC"/>
    <w:rsid w:val="00E06D47"/>
    <w:rsid w:val="00E12A24"/>
    <w:rsid w:val="00E17220"/>
    <w:rsid w:val="00E20ED4"/>
    <w:rsid w:val="00E2217F"/>
    <w:rsid w:val="00E22B5E"/>
    <w:rsid w:val="00E2340E"/>
    <w:rsid w:val="00E25ED3"/>
    <w:rsid w:val="00E261AE"/>
    <w:rsid w:val="00E3280D"/>
    <w:rsid w:val="00E3332A"/>
    <w:rsid w:val="00E36B4A"/>
    <w:rsid w:val="00E37BA5"/>
    <w:rsid w:val="00E4264A"/>
    <w:rsid w:val="00E44766"/>
    <w:rsid w:val="00E44D85"/>
    <w:rsid w:val="00E466D0"/>
    <w:rsid w:val="00E46822"/>
    <w:rsid w:val="00E475D8"/>
    <w:rsid w:val="00E50943"/>
    <w:rsid w:val="00E53D17"/>
    <w:rsid w:val="00E56567"/>
    <w:rsid w:val="00E577A9"/>
    <w:rsid w:val="00E61359"/>
    <w:rsid w:val="00E61EB6"/>
    <w:rsid w:val="00E626BC"/>
    <w:rsid w:val="00E62ABC"/>
    <w:rsid w:val="00E63989"/>
    <w:rsid w:val="00E652DB"/>
    <w:rsid w:val="00E65CB9"/>
    <w:rsid w:val="00E66A6A"/>
    <w:rsid w:val="00E670D3"/>
    <w:rsid w:val="00E67374"/>
    <w:rsid w:val="00E701D8"/>
    <w:rsid w:val="00E71495"/>
    <w:rsid w:val="00E718A1"/>
    <w:rsid w:val="00E7290C"/>
    <w:rsid w:val="00E757B1"/>
    <w:rsid w:val="00E75C92"/>
    <w:rsid w:val="00E75E49"/>
    <w:rsid w:val="00E76EAD"/>
    <w:rsid w:val="00E829F5"/>
    <w:rsid w:val="00E87D70"/>
    <w:rsid w:val="00E94C05"/>
    <w:rsid w:val="00E979DC"/>
    <w:rsid w:val="00EA53CB"/>
    <w:rsid w:val="00EA69BE"/>
    <w:rsid w:val="00EA7CE5"/>
    <w:rsid w:val="00EB4012"/>
    <w:rsid w:val="00EB5923"/>
    <w:rsid w:val="00EB5D63"/>
    <w:rsid w:val="00EC3589"/>
    <w:rsid w:val="00EC4735"/>
    <w:rsid w:val="00EC6A35"/>
    <w:rsid w:val="00ED49CF"/>
    <w:rsid w:val="00ED52C7"/>
    <w:rsid w:val="00ED78DB"/>
    <w:rsid w:val="00ED7E3D"/>
    <w:rsid w:val="00EE0332"/>
    <w:rsid w:val="00EE0C38"/>
    <w:rsid w:val="00EE14A1"/>
    <w:rsid w:val="00EE3ADD"/>
    <w:rsid w:val="00EF07A7"/>
    <w:rsid w:val="00EF1C4C"/>
    <w:rsid w:val="00EF2926"/>
    <w:rsid w:val="00EF2AAB"/>
    <w:rsid w:val="00EF42AE"/>
    <w:rsid w:val="00EF4709"/>
    <w:rsid w:val="00F00ECB"/>
    <w:rsid w:val="00F013FB"/>
    <w:rsid w:val="00F01532"/>
    <w:rsid w:val="00F05FB4"/>
    <w:rsid w:val="00F1081E"/>
    <w:rsid w:val="00F23E4D"/>
    <w:rsid w:val="00F2453A"/>
    <w:rsid w:val="00F2465A"/>
    <w:rsid w:val="00F27452"/>
    <w:rsid w:val="00F30BF7"/>
    <w:rsid w:val="00F331DF"/>
    <w:rsid w:val="00F3532D"/>
    <w:rsid w:val="00F420D4"/>
    <w:rsid w:val="00F52466"/>
    <w:rsid w:val="00F52D51"/>
    <w:rsid w:val="00F53FB5"/>
    <w:rsid w:val="00F542BD"/>
    <w:rsid w:val="00F5590C"/>
    <w:rsid w:val="00F55D52"/>
    <w:rsid w:val="00F55DF4"/>
    <w:rsid w:val="00F56201"/>
    <w:rsid w:val="00F573F3"/>
    <w:rsid w:val="00F6159B"/>
    <w:rsid w:val="00F615E4"/>
    <w:rsid w:val="00F63B1E"/>
    <w:rsid w:val="00F64627"/>
    <w:rsid w:val="00F6581D"/>
    <w:rsid w:val="00F72E7A"/>
    <w:rsid w:val="00F77C77"/>
    <w:rsid w:val="00F86882"/>
    <w:rsid w:val="00F87B7D"/>
    <w:rsid w:val="00F90CC8"/>
    <w:rsid w:val="00F913E0"/>
    <w:rsid w:val="00F923D7"/>
    <w:rsid w:val="00F92476"/>
    <w:rsid w:val="00FA04FA"/>
    <w:rsid w:val="00FA6935"/>
    <w:rsid w:val="00FB2223"/>
    <w:rsid w:val="00FB388D"/>
    <w:rsid w:val="00FB45A4"/>
    <w:rsid w:val="00FC27DE"/>
    <w:rsid w:val="00FC334F"/>
    <w:rsid w:val="00FC492D"/>
    <w:rsid w:val="00FC77DA"/>
    <w:rsid w:val="00FD038E"/>
    <w:rsid w:val="00FD4FC0"/>
    <w:rsid w:val="00FD6BFD"/>
    <w:rsid w:val="00FE0B29"/>
    <w:rsid w:val="00FE40E8"/>
    <w:rsid w:val="00FE5643"/>
    <w:rsid w:val="00FF1347"/>
    <w:rsid w:val="00FF192B"/>
    <w:rsid w:val="00FF2727"/>
    <w:rsid w:val="00FF3347"/>
    <w:rsid w:val="00FF4BB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hittlesea.ERAPSubmissions@vec.vic.gov.a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hyperlink" Target="https://www.abs.gov.au/census/find-census-data/search-by-are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vec.vic.gov.au/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2023-10-10T01:01:00Z</dcterms:created>
  <dcterms:modified xsi:type="dcterms:W3CDTF">2023-10-10T01:01:00Z</dcterms:modified>
</cp:coreProperties>
</file>