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7F7EDA71">
                <wp:simplePos x="0" y="0"/>
                <wp:positionH relativeFrom="column">
                  <wp:posOffset>3223260</wp:posOffset>
                </wp:positionH>
                <wp:positionV relativeFrom="paragraph">
                  <wp:posOffset>142240</wp:posOffset>
                </wp:positionV>
                <wp:extent cx="2882265" cy="6551295"/>
                <wp:effectExtent l="0" t="0" r="13335" b="20955"/>
                <wp:wrapTight wrapText="bothSides">
                  <wp:wrapPolygon edited="0">
                    <wp:start x="2427" y="0"/>
                    <wp:lineTo x="1428" y="188"/>
                    <wp:lineTo x="0" y="817"/>
                    <wp:lineTo x="0" y="20539"/>
                    <wp:lineTo x="571" y="21104"/>
                    <wp:lineTo x="571" y="21167"/>
                    <wp:lineTo x="2141" y="21606"/>
                    <wp:lineTo x="2427" y="21606"/>
                    <wp:lineTo x="19130" y="21606"/>
                    <wp:lineTo x="19416" y="21606"/>
                    <wp:lineTo x="20986" y="21167"/>
                    <wp:lineTo x="20986" y="21104"/>
                    <wp:lineTo x="21557" y="20601"/>
                    <wp:lineTo x="21557" y="817"/>
                    <wp:lineTo x="20130" y="188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55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6BCF48FE" w:rsidR="00787A2B" w:rsidRPr="00D5018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 xml:space="preserve">Local Government Act </w:t>
                            </w:r>
                            <w:r w:rsidRPr="001A4765">
                              <w:rPr>
                                <w:bCs/>
                                <w:i/>
                                <w:iCs/>
                                <w:szCs w:val="20"/>
                              </w:rPr>
                              <w:t>2020</w:t>
                            </w:r>
                            <w:r w:rsidRPr="001A4765">
                              <w:rPr>
                                <w:bCs/>
                                <w:szCs w:val="20"/>
                              </w:rPr>
                              <w:t xml:space="preserve">, </w:t>
                            </w:r>
                            <w:r w:rsidR="001A4765" w:rsidRPr="001A4765">
                              <w:rPr>
                                <w:bCs/>
                                <w:szCs w:val="20"/>
                              </w:rPr>
                              <w:t>Melton City</w:t>
                            </w:r>
                            <w:r w:rsidRPr="001A4765">
                              <w:rPr>
                                <w:bCs/>
                                <w:szCs w:val="20"/>
                              </w:rPr>
                              <w:t xml:space="preserve"> Council must now have a single-councillor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ward electoral structure. </w:t>
                            </w:r>
                          </w:p>
                          <w:p w14:paraId="7A1263E7" w14:textId="34B2B851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2F6FA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review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electoral structure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1A4765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Melton City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C3537A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advise 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6BE0C138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democracy and your input is valuable. As a local, you know your council area better than anyone. This is your chance to </w:t>
                            </w:r>
                            <w:r w:rsidR="00AE2CA1">
                              <w:rPr>
                                <w:color w:val="FFFFFF" w:themeColor="background1"/>
                                <w:szCs w:val="20"/>
                              </w:rPr>
                              <w:t>tell the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panel</w:t>
                            </w:r>
                            <w:r w:rsidRPr="00A434CF" w:rsidDel="00AE2CA1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structure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7EB753A1" w:rsidR="00533759" w:rsidRPr="005C17A7" w:rsidRDefault="00BA06A4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5A103E53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2pt;width:226.95pt;height:515.8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6BCF48FE" w:rsidR="00787A2B" w:rsidRPr="00D5018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 xml:space="preserve">Local Government Act </w:t>
                      </w:r>
                      <w:r w:rsidRPr="001A4765">
                        <w:rPr>
                          <w:bCs/>
                          <w:i/>
                          <w:iCs/>
                          <w:szCs w:val="20"/>
                        </w:rPr>
                        <w:t>2020</w:t>
                      </w:r>
                      <w:r w:rsidRPr="001A4765">
                        <w:rPr>
                          <w:bCs/>
                          <w:szCs w:val="20"/>
                        </w:rPr>
                        <w:t xml:space="preserve">, </w:t>
                      </w:r>
                      <w:r w:rsidR="001A4765" w:rsidRPr="001A4765">
                        <w:rPr>
                          <w:bCs/>
                          <w:szCs w:val="20"/>
                        </w:rPr>
                        <w:t>Melton City</w:t>
                      </w:r>
                      <w:r w:rsidRPr="001A4765">
                        <w:rPr>
                          <w:bCs/>
                          <w:szCs w:val="20"/>
                        </w:rPr>
                        <w:t xml:space="preserve"> Council must now have a single-councillor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ward electoral structure. </w:t>
                      </w:r>
                    </w:p>
                    <w:p w14:paraId="7A1263E7" w14:textId="34B2B851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2F6FA8">
                        <w:rPr>
                          <w:bCs/>
                          <w:color w:val="FFFFFF" w:themeColor="background1"/>
                          <w:szCs w:val="20"/>
                        </w:rPr>
                        <w:t>review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electoral structure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1A4765">
                        <w:rPr>
                          <w:bCs/>
                          <w:color w:val="FFFFFF" w:themeColor="background1"/>
                          <w:szCs w:val="20"/>
                        </w:rPr>
                        <w:t>Melton City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C3537A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advise 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6BE0C138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democracy and your input is valuable. As a local, you know your council area better than anyone. This is your chance to </w:t>
                      </w:r>
                      <w:r w:rsidR="00AE2CA1">
                        <w:rPr>
                          <w:color w:val="FFFFFF" w:themeColor="background1"/>
                          <w:szCs w:val="20"/>
                        </w:rPr>
                        <w:t>tell the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panel</w:t>
                      </w:r>
                      <w:r w:rsidRPr="00A434CF" w:rsidDel="00AE2CA1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structure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7EB753A1" w:rsidR="00533759" w:rsidRPr="005C17A7" w:rsidRDefault="00BA06A4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5A103E53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</w:t>
                      </w:r>
                      <w:proofErr w:type="gramStart"/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if</w:t>
                      </w:r>
                      <w:proofErr w:type="gramEnd"/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385F6BB9" w14:textId="40076CAC" w:rsidR="005E451C" w:rsidRPr="005A3FC0" w:rsidRDefault="00533759" w:rsidP="00303185">
      <w:pPr>
        <w:pStyle w:val="Heading1A"/>
      </w:pPr>
      <w:r>
        <w:t xml:space="preserve">About </w:t>
      </w:r>
      <w:r w:rsidR="00783B38">
        <w:t xml:space="preserve">Melton City </w:t>
      </w:r>
      <w:r w:rsidR="005E451C" w:rsidRPr="005A3FC0">
        <w:t>Council</w:t>
      </w:r>
    </w:p>
    <w:p w14:paraId="368B1953" w14:textId="4023FEB7" w:rsidR="000902B1" w:rsidRDefault="000902B1" w:rsidP="00DE290D">
      <w:pPr>
        <w:pStyle w:val="Body"/>
        <w:spacing w:after="120" w:line="240" w:lineRule="auto"/>
      </w:pPr>
      <w:r>
        <w:t xml:space="preserve">The Traditional </w:t>
      </w:r>
      <w:r w:rsidRPr="00214046">
        <w:t xml:space="preserve">Custodians of the land in Melton City Council </w:t>
      </w:r>
      <w:r w:rsidR="009141E3" w:rsidRPr="00214046">
        <w:t xml:space="preserve">area </w:t>
      </w:r>
      <w:r w:rsidRPr="00214046">
        <w:t xml:space="preserve">are </w:t>
      </w:r>
      <w:r w:rsidR="00FA29EF" w:rsidRPr="00214046">
        <w:t>the</w:t>
      </w:r>
      <w:r>
        <w:t xml:space="preserve"> </w:t>
      </w:r>
      <w:r w:rsidR="00DB190C" w:rsidRPr="00B56133">
        <w:t xml:space="preserve">Wurundjeri, Bunurong and </w:t>
      </w:r>
      <w:proofErr w:type="spellStart"/>
      <w:r w:rsidR="00DB190C" w:rsidRPr="00B56133">
        <w:t>Wad</w:t>
      </w:r>
      <w:r w:rsidR="00294B08" w:rsidRPr="00B56133">
        <w:t>aw</w:t>
      </w:r>
      <w:r w:rsidR="009141E3" w:rsidRPr="00B56133">
        <w:t>u</w:t>
      </w:r>
      <w:r w:rsidR="00294B08" w:rsidRPr="00B56133">
        <w:t>rrung</w:t>
      </w:r>
      <w:proofErr w:type="spellEnd"/>
      <w:r w:rsidR="00294B08" w:rsidRPr="00B56133">
        <w:t xml:space="preserve"> </w:t>
      </w:r>
      <w:r w:rsidR="009141E3" w:rsidRPr="00B56133">
        <w:t>peoples</w:t>
      </w:r>
      <w:r>
        <w:t xml:space="preserve">. </w:t>
      </w:r>
    </w:p>
    <w:p w14:paraId="11575627" w14:textId="1EF954CC" w:rsidR="000902B1" w:rsidRDefault="000902B1" w:rsidP="00DE290D">
      <w:pPr>
        <w:pStyle w:val="Body"/>
        <w:spacing w:after="120" w:line="240" w:lineRule="auto"/>
      </w:pPr>
      <w:r w:rsidRPr="00FD5A62">
        <w:t>Melton City Council</w:t>
      </w:r>
      <w:r w:rsidR="00835FB9">
        <w:t xml:space="preserve"> </w:t>
      </w:r>
      <w:r>
        <w:t>is about 30 km west of central Melbourne</w:t>
      </w:r>
      <w:r w:rsidR="00DA31CB">
        <w:t xml:space="preserve"> and covers </w:t>
      </w:r>
      <w:r>
        <w:t>528 km</w:t>
      </w:r>
      <w:r>
        <w:rPr>
          <w:vertAlign w:val="superscript"/>
        </w:rPr>
        <w:t>2</w:t>
      </w:r>
      <w:r w:rsidR="00DA31CB">
        <w:t>.</w:t>
      </w:r>
      <w:r>
        <w:t xml:space="preserve"> </w:t>
      </w:r>
      <w:r w:rsidR="00DA31CB">
        <w:t>In 2021 it was</w:t>
      </w:r>
      <w:r>
        <w:t xml:space="preserve"> home to 178,960 people</w:t>
      </w:r>
      <w:r w:rsidR="00F13965">
        <w:t xml:space="preserve">. </w:t>
      </w:r>
      <w:r w:rsidR="00146708">
        <w:t>Through c</w:t>
      </w:r>
      <w:r w:rsidR="002F1B18">
        <w:t>ontinued rapid growth</w:t>
      </w:r>
      <w:r w:rsidR="00146708">
        <w:t xml:space="preserve"> the population is expected </w:t>
      </w:r>
      <w:r w:rsidR="00285DCD">
        <w:t xml:space="preserve">to double </w:t>
      </w:r>
      <w:r>
        <w:t>by 2040</w:t>
      </w:r>
      <w:r w:rsidR="00727041">
        <w:t>.</w:t>
      </w:r>
    </w:p>
    <w:p w14:paraId="5E90D734" w14:textId="443B77E8" w:rsidR="000902B1" w:rsidRDefault="000902B1" w:rsidP="008B7F78">
      <w:pPr>
        <w:pStyle w:val="Body"/>
        <w:spacing w:after="120" w:line="240" w:lineRule="auto"/>
      </w:pPr>
      <w:r>
        <w:t xml:space="preserve">Formerly </w:t>
      </w:r>
      <w:r w:rsidR="00D75301">
        <w:t>a</w:t>
      </w:r>
      <w:r w:rsidR="001E56E8">
        <w:t xml:space="preserve"> </w:t>
      </w:r>
      <w:r w:rsidR="00D31074">
        <w:t>s</w:t>
      </w:r>
      <w:r>
        <w:t>hire</w:t>
      </w:r>
      <w:r w:rsidR="003923A2">
        <w:t xml:space="preserve"> </w:t>
      </w:r>
      <w:r w:rsidR="00DE4378">
        <w:t>c</w:t>
      </w:r>
      <w:r>
        <w:t xml:space="preserve">entred </w:t>
      </w:r>
      <w:r w:rsidR="00682A45">
        <w:t xml:space="preserve">on </w:t>
      </w:r>
      <w:r>
        <w:t xml:space="preserve">the </w:t>
      </w:r>
      <w:r w:rsidR="00DE4378">
        <w:t>satellite</w:t>
      </w:r>
      <w:r w:rsidR="00D31074">
        <w:t xml:space="preserve"> </w:t>
      </w:r>
      <w:r>
        <w:t>town of Melton,</w:t>
      </w:r>
      <w:r w:rsidR="00E84198">
        <w:t xml:space="preserve"> </w:t>
      </w:r>
      <w:r w:rsidR="0081191D">
        <w:t xml:space="preserve">the area changed </w:t>
      </w:r>
      <w:r w:rsidR="00472247">
        <w:t>significantly from the 1990s</w:t>
      </w:r>
      <w:r w:rsidR="002F2E71">
        <w:t xml:space="preserve"> onwards</w:t>
      </w:r>
      <w:r w:rsidR="00746A16">
        <w:t>, when</w:t>
      </w:r>
      <w:r w:rsidR="0066531B">
        <w:t xml:space="preserve"> </w:t>
      </w:r>
      <w:r w:rsidR="00EE2973">
        <w:t xml:space="preserve">Melton </w:t>
      </w:r>
      <w:r w:rsidR="0066531B">
        <w:t xml:space="preserve">and </w:t>
      </w:r>
      <w:r w:rsidR="00D16F41">
        <w:t xml:space="preserve">suburbs such as </w:t>
      </w:r>
      <w:r>
        <w:t>Caroline Springs and Taylors Hill</w:t>
      </w:r>
      <w:r w:rsidR="00D16F41">
        <w:t xml:space="preserve"> </w:t>
      </w:r>
      <w:r w:rsidR="00BA7AF2">
        <w:t>became of</w:t>
      </w:r>
      <w:r w:rsidR="004717D0">
        <w:t xml:space="preserve"> part of</w:t>
      </w:r>
      <w:r w:rsidR="00BA7AF2">
        <w:t xml:space="preserve"> </w:t>
      </w:r>
      <w:r w:rsidR="00EA598B">
        <w:t>the suburban fringe.</w:t>
      </w:r>
      <w:r w:rsidR="00450A68">
        <w:t xml:space="preserve"> I</w:t>
      </w:r>
      <w:r w:rsidR="00BC1CFC">
        <w:t xml:space="preserve">n </w:t>
      </w:r>
      <w:r w:rsidR="00B402C9">
        <w:t xml:space="preserve">recognition of </w:t>
      </w:r>
      <w:r w:rsidR="00450F84">
        <w:t>this</w:t>
      </w:r>
      <w:r w:rsidR="00BC1CFC">
        <w:t xml:space="preserve"> changing urban profile</w:t>
      </w:r>
      <w:r w:rsidR="00B402C9">
        <w:t xml:space="preserve">, </w:t>
      </w:r>
      <w:r w:rsidR="00450F84">
        <w:t>Melton</w:t>
      </w:r>
      <w:r w:rsidR="00B402C9">
        <w:t xml:space="preserve"> became a city council</w:t>
      </w:r>
      <w:r w:rsidR="00450F84">
        <w:t xml:space="preserve"> in 2012</w:t>
      </w:r>
      <w:r w:rsidR="00B402C9">
        <w:t xml:space="preserve">. </w:t>
      </w:r>
    </w:p>
    <w:p w14:paraId="7437448D" w14:textId="6176DE47" w:rsidR="006B3F8E" w:rsidRDefault="00450F84" w:rsidP="00DE290D">
      <w:pPr>
        <w:pStyle w:val="Body"/>
        <w:spacing w:after="120" w:line="240" w:lineRule="auto"/>
      </w:pPr>
      <w:r>
        <w:t>O</w:t>
      </w:r>
      <w:r w:rsidR="00AB5199" w:rsidRPr="000445D9">
        <w:t>n the</w:t>
      </w:r>
      <w:r w:rsidR="000445D9" w:rsidRPr="000445D9">
        <w:t xml:space="preserve"> eastern edge of the Victorian Volcanic Plain</w:t>
      </w:r>
      <w:r w:rsidR="003B4475" w:rsidRPr="000445D9">
        <w:t>, t</w:t>
      </w:r>
      <w:r w:rsidR="00A43AA3" w:rsidRPr="000445D9">
        <w:t xml:space="preserve">he council </w:t>
      </w:r>
      <w:r w:rsidR="00952BCB">
        <w:t xml:space="preserve">area </w:t>
      </w:r>
      <w:r w:rsidR="00A43AA3" w:rsidRPr="000445D9">
        <w:t>is</w:t>
      </w:r>
      <w:r w:rsidR="000445D9">
        <w:t xml:space="preserve"> largely flat </w:t>
      </w:r>
      <w:r w:rsidR="00A96401">
        <w:t>and fertile.</w:t>
      </w:r>
      <w:r w:rsidR="00A43AA3" w:rsidRPr="000445D9">
        <w:t xml:space="preserve"> </w:t>
      </w:r>
      <w:r w:rsidR="00A96401">
        <w:t>It is s</w:t>
      </w:r>
      <w:r w:rsidR="00A43AA3" w:rsidRPr="000445D9">
        <w:t>erviced by the</w:t>
      </w:r>
      <w:r w:rsidR="00A96401">
        <w:t xml:space="preserve"> </w:t>
      </w:r>
      <w:r w:rsidR="00A43AA3" w:rsidRPr="000445D9">
        <w:t>Western Highway</w:t>
      </w:r>
      <w:r w:rsidR="00BE4AFF" w:rsidRPr="000445D9">
        <w:t xml:space="preserve">, which runs </w:t>
      </w:r>
      <w:r w:rsidR="003B4475" w:rsidRPr="000445D9">
        <w:t xml:space="preserve">from Melbourne </w:t>
      </w:r>
      <w:r w:rsidR="00BE4AFF" w:rsidRPr="000445D9">
        <w:t>to Ballarat</w:t>
      </w:r>
      <w:r w:rsidR="00933843">
        <w:t xml:space="preserve"> and Adelaide</w:t>
      </w:r>
      <w:r w:rsidR="00BE4AFF" w:rsidRPr="000445D9">
        <w:t>, as</w:t>
      </w:r>
      <w:r w:rsidR="00BE4AFF">
        <w:t xml:space="preserve"> </w:t>
      </w:r>
      <w:r w:rsidR="004B31AC">
        <w:t>well</w:t>
      </w:r>
      <w:r w:rsidR="00BE4AFF">
        <w:t xml:space="preserve"> as the Ballarat and Bendigo </w:t>
      </w:r>
      <w:r w:rsidR="00952BCB">
        <w:t xml:space="preserve">regional train </w:t>
      </w:r>
      <w:r w:rsidR="00BE4AFF">
        <w:t xml:space="preserve">lines. </w:t>
      </w:r>
    </w:p>
    <w:p w14:paraId="27FDFF65" w14:textId="5E835553" w:rsidR="001957B1" w:rsidRDefault="000902B1" w:rsidP="00DE290D">
      <w:pPr>
        <w:pStyle w:val="Body"/>
        <w:spacing w:after="240" w:line="240" w:lineRule="auto"/>
      </w:pPr>
      <w:r>
        <w:t>The council is culturally diverse, with about 55% of the population having both parents born overseas. People born in India account for 8% of the population. Other large cultural groups include people with Maltese, Italian, and Filipino ancestry.</w:t>
      </w:r>
    </w:p>
    <w:p w14:paraId="7E95C877" w14:textId="77777777" w:rsidR="001276D5" w:rsidRDefault="001276D5" w:rsidP="001276D5"/>
    <w:p w14:paraId="4BE67680" w14:textId="37966E27" w:rsidR="000018E8" w:rsidRDefault="000018E8" w:rsidP="00DB468D">
      <w:pPr>
        <w:pStyle w:val="Body"/>
      </w:pPr>
    </w:p>
    <w:p w14:paraId="210C8CE3" w14:textId="77777777" w:rsidR="00DB468D" w:rsidRDefault="00DB468D" w:rsidP="00DB468D">
      <w:pPr>
        <w:pStyle w:val="Body"/>
      </w:pPr>
    </w:p>
    <w:p w14:paraId="292A7870" w14:textId="77777777" w:rsidR="000018E8" w:rsidRDefault="000018E8" w:rsidP="003D317E">
      <w:pPr>
        <w:pStyle w:val="Body"/>
        <w:spacing w:after="0"/>
      </w:pPr>
    </w:p>
    <w:p w14:paraId="2C877BB0" w14:textId="7BDEB09D" w:rsidR="004B309B" w:rsidRPr="00E25ED3" w:rsidRDefault="004B309B" w:rsidP="006B3F8E">
      <w:pPr>
        <w:pStyle w:val="Heading2"/>
        <w:spacing w:after="120"/>
      </w:pPr>
      <w:r w:rsidRPr="00E25ED3">
        <w:t xml:space="preserve">Current </w:t>
      </w:r>
      <w:r w:rsidR="00357BE0" w:rsidRPr="00E25ED3">
        <w:t>s</w:t>
      </w:r>
      <w:r w:rsidRPr="00E25ED3">
        <w:t>tructure</w:t>
      </w:r>
    </w:p>
    <w:p w14:paraId="52712EF9" w14:textId="77777777" w:rsidR="00AA7699" w:rsidRDefault="00AA7699" w:rsidP="00AA7699">
      <w:pPr>
        <w:pStyle w:val="Body"/>
        <w:spacing w:after="240" w:line="240" w:lineRule="auto"/>
      </w:pPr>
      <w:r>
        <w:t>Melton City</w:t>
      </w:r>
      <w:r w:rsidRPr="00CA2B4D">
        <w:t xml:space="preserve"> </w:t>
      </w:r>
      <w:r>
        <w:t xml:space="preserve">Council is </w:t>
      </w:r>
      <w:r w:rsidRPr="005A5217">
        <w:t>divided into 3 wards</w:t>
      </w:r>
      <w:r>
        <w:t xml:space="preserve"> with a total</w:t>
      </w:r>
      <w:r w:rsidRPr="00CA2B4D">
        <w:t xml:space="preserve"> of</w:t>
      </w:r>
      <w:r>
        <w:t xml:space="preserve"> 9 councillors:</w:t>
      </w:r>
      <w:r w:rsidRPr="00DF4D2A">
        <w:t xml:space="preserve"> </w:t>
      </w:r>
      <w:r>
        <w:t xml:space="preserve"> </w:t>
      </w:r>
    </w:p>
    <w:p w14:paraId="5B23F3B3" w14:textId="77777777" w:rsidR="00AA7699" w:rsidRPr="00D709EF" w:rsidRDefault="00AA7699" w:rsidP="00AA7699">
      <w:pPr>
        <w:pStyle w:val="Bulletlevel1"/>
        <w:spacing w:after="0"/>
      </w:pPr>
      <w:r>
        <w:t>one</w:t>
      </w:r>
      <w:r w:rsidRPr="00D709EF">
        <w:t xml:space="preserve"> ward with 4 councillors</w:t>
      </w:r>
    </w:p>
    <w:p w14:paraId="0D4913CA" w14:textId="77777777" w:rsidR="00AA7699" w:rsidRPr="00D709EF" w:rsidRDefault="00AA7699" w:rsidP="00AA7699">
      <w:pPr>
        <w:pStyle w:val="Bulletlevel1"/>
        <w:spacing w:after="0"/>
      </w:pPr>
      <w:r>
        <w:t>one</w:t>
      </w:r>
      <w:r w:rsidRPr="00D709EF">
        <w:t xml:space="preserve"> ward with 3 councillors</w:t>
      </w:r>
    </w:p>
    <w:p w14:paraId="4788E63A" w14:textId="77777777" w:rsidR="00AA7699" w:rsidRPr="00D709EF" w:rsidRDefault="00AA7699" w:rsidP="00AA7699">
      <w:pPr>
        <w:pStyle w:val="Bulletlevel1"/>
        <w:spacing w:after="0"/>
      </w:pPr>
      <w:r>
        <w:t>one</w:t>
      </w:r>
      <w:r w:rsidRPr="00D709EF">
        <w:t xml:space="preserve"> ward with 2 councillors</w:t>
      </w:r>
      <w:r>
        <w:t>.</w:t>
      </w:r>
    </w:p>
    <w:p w14:paraId="4BEC8A4D" w14:textId="77777777" w:rsidR="004416AD" w:rsidRDefault="004416AD" w:rsidP="004416AD">
      <w:pPr>
        <w:pStyle w:val="Bulletlevel1"/>
        <w:numPr>
          <w:ilvl w:val="0"/>
          <w:numId w:val="0"/>
        </w:numPr>
        <w:spacing w:after="0"/>
        <w:ind w:left="340"/>
      </w:pPr>
    </w:p>
    <w:p w14:paraId="13274DCD" w14:textId="77777777" w:rsidR="000018E8" w:rsidRDefault="000018E8" w:rsidP="00DB468D">
      <w:pPr>
        <w:pStyle w:val="Body"/>
      </w:pPr>
    </w:p>
    <w:p w14:paraId="6BA48507" w14:textId="7A6BC311" w:rsidR="00CE77A4" w:rsidRPr="00E25ED3" w:rsidRDefault="00CE77A4" w:rsidP="006B3F8E">
      <w:pPr>
        <w:pStyle w:val="Heading2"/>
        <w:spacing w:after="120"/>
      </w:pPr>
      <w:r w:rsidRPr="00E25ED3">
        <w:t>Last review</w:t>
      </w:r>
    </w:p>
    <w:p w14:paraId="479C8E8C" w14:textId="77777777" w:rsidR="004B10CA" w:rsidRDefault="004B10CA" w:rsidP="004B10CA">
      <w:pPr>
        <w:pStyle w:val="Body"/>
        <w:spacing w:after="240" w:line="240" w:lineRule="auto"/>
      </w:pPr>
      <w:r>
        <w:t>The VEC conducted an electoral representation review of Melton City</w:t>
      </w:r>
      <w:r w:rsidRPr="00CA2B4D">
        <w:t xml:space="preserve"> </w:t>
      </w:r>
      <w:r>
        <w:t>Council in 2015.</w:t>
      </w:r>
    </w:p>
    <w:p w14:paraId="5C15612E" w14:textId="77777777" w:rsidR="004B10CA" w:rsidRDefault="004B10CA" w:rsidP="004B10CA">
      <w:pPr>
        <w:pStyle w:val="Body"/>
        <w:spacing w:after="240" w:line="240" w:lineRule="auto"/>
      </w:pPr>
      <w:r>
        <w:t xml:space="preserve">Visit the VEC website at </w:t>
      </w:r>
      <w:hyperlink r:id="rId9" w:history="1">
        <w:r w:rsidRPr="00BB6631">
          <w:rPr>
            <w:rStyle w:val="Hyperlink"/>
          </w:rPr>
          <w:t>vec.vic.gov.au</w:t>
        </w:r>
      </w:hyperlink>
      <w:r>
        <w:t xml:space="preserve"> to access a copy of the 2015 review final report.</w:t>
      </w:r>
      <w:r w:rsidRPr="00533759">
        <w:t xml:space="preserve"> </w:t>
      </w: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1A2D897" w14:textId="77777777" w:rsidR="000178D1" w:rsidRDefault="000178D1" w:rsidP="000178D1">
      <w:pPr>
        <w:pStyle w:val="Heading2a"/>
      </w:pPr>
      <w:r>
        <w:t>Monday 23 and Tuesday 24 October</w:t>
      </w:r>
    </w:p>
    <w:p w14:paraId="65A21094" w14:textId="10BD47D7" w:rsidR="00C93B58" w:rsidRPr="00132DC6" w:rsidRDefault="00C93B58" w:rsidP="00C76AB3">
      <w:pPr>
        <w:pStyle w:val="Heading3"/>
      </w:pPr>
      <w:r w:rsidRPr="00132DC6">
        <w:t>Information sessions</w:t>
      </w:r>
    </w:p>
    <w:p w14:paraId="54FBFE77" w14:textId="418C5E5B" w:rsidR="004B7D7E" w:rsidRDefault="004B7D7E" w:rsidP="004B7D7E">
      <w:pPr>
        <w:pStyle w:val="BodyA"/>
      </w:pPr>
      <w:r w:rsidRPr="00C93B58">
        <w:t xml:space="preserve">Session 1: </w:t>
      </w:r>
      <w:r>
        <w:t xml:space="preserve">12 noon, Monday </w:t>
      </w:r>
      <w:r w:rsidR="00F15369">
        <w:t xml:space="preserve">23 </w:t>
      </w:r>
      <w:r>
        <w:t>October</w:t>
      </w:r>
      <w:r w:rsidRPr="00132DC6">
        <w:t xml:space="preserve"> </w:t>
      </w:r>
    </w:p>
    <w:p w14:paraId="625DF0CC" w14:textId="410C8FF1" w:rsidR="004B7D7E" w:rsidRPr="00C93B58" w:rsidRDefault="004B7D7E" w:rsidP="004B7D7E">
      <w:pPr>
        <w:pStyle w:val="BodyA"/>
      </w:pPr>
      <w:r w:rsidRPr="00C93B58">
        <w:t xml:space="preserve">Session 2: </w:t>
      </w:r>
      <w:r>
        <w:t xml:space="preserve">6 pm, </w:t>
      </w:r>
      <w:r w:rsidRPr="00AB727D">
        <w:t xml:space="preserve">Tuesday </w:t>
      </w:r>
      <w:r w:rsidR="00F15369">
        <w:t xml:space="preserve">24 </w:t>
      </w:r>
      <w:r w:rsidRPr="00AB727D">
        <w:t xml:space="preserve">October  </w:t>
      </w:r>
    </w:p>
    <w:p w14:paraId="1F8E3951" w14:textId="04ABA0C2" w:rsidR="0055232C" w:rsidRDefault="0051531D" w:rsidP="0055232C">
      <w:pPr>
        <w:pStyle w:val="BodyA"/>
      </w:pPr>
      <w:r>
        <w:t>These</w:t>
      </w:r>
      <w:r w:rsidRPr="00132DC6">
        <w:t xml:space="preserve"> </w:t>
      </w:r>
      <w:r w:rsidR="0055232C" w:rsidRPr="00132DC6">
        <w:t>session</w:t>
      </w:r>
      <w:r w:rsidR="0055232C">
        <w:t>s</w:t>
      </w:r>
      <w:r w:rsidR="0055232C" w:rsidRPr="00132DC6">
        <w:t xml:space="preserve"> </w:t>
      </w:r>
      <w:r w:rsidR="00AB6A7F">
        <w:t xml:space="preserve">will give you </w:t>
      </w:r>
      <w:r w:rsidR="0055232C" w:rsidRPr="00132DC6">
        <w:t>more</w:t>
      </w:r>
      <w:r w:rsidR="00AB6A7F">
        <w:t xml:space="preserve"> information</w:t>
      </w:r>
      <w:r w:rsidR="0055232C" w:rsidRPr="00132DC6">
        <w:t xml:space="preserve"> about the review process.</w:t>
      </w:r>
      <w:r w:rsidR="0055232C">
        <w:t xml:space="preserve"> </w:t>
      </w:r>
      <w:r w:rsidR="005C4D98">
        <w:t>You will be able</w:t>
      </w:r>
      <w:r w:rsidR="0055232C">
        <w:t xml:space="preserve"> to register </w:t>
      </w:r>
      <w:r w:rsidR="00B5389B">
        <w:t xml:space="preserve">for a session </w:t>
      </w:r>
      <w:r w:rsidR="0055232C">
        <w:t xml:space="preserve">on the VEC website. </w:t>
      </w:r>
    </w:p>
    <w:p w14:paraId="21735520" w14:textId="77777777" w:rsidR="00364068" w:rsidRDefault="00364068" w:rsidP="00364068">
      <w:pPr>
        <w:pStyle w:val="Heading2a"/>
      </w:pPr>
      <w:r>
        <w:t>Wednesday 25 October</w:t>
      </w:r>
    </w:p>
    <w:p w14:paraId="66CA705F" w14:textId="6DFDFE58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5E1170E4" w:rsidR="003011AE" w:rsidRPr="00132DC6" w:rsidRDefault="0058388E" w:rsidP="003011AE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 w:rsidR="000C42E1">
        <w:t>with</w:t>
      </w:r>
      <w:r w:rsidR="000C42E1" w:rsidRPr="00132DC6">
        <w:t xml:space="preserve"> </w:t>
      </w:r>
      <w:r w:rsidRPr="00132DC6">
        <w:t>one or more options for the electoral structure</w:t>
      </w:r>
      <w:r>
        <w:t xml:space="preserve"> on</w:t>
      </w:r>
      <w:r w:rsidR="00173DAA">
        <w:t xml:space="preserve"> </w:t>
      </w:r>
      <w:r w:rsidR="00F0565C">
        <w:t>Wednesday 25 October.</w:t>
      </w:r>
    </w:p>
    <w:p w14:paraId="51EDB934" w14:textId="66358461" w:rsidR="00C93B58" w:rsidRDefault="00CE60F8" w:rsidP="000378E4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="00C76AB3" w:rsidRPr="00AB3120">
        <w:rPr>
          <w:b/>
          <w:bCs/>
        </w:rPr>
        <w:t>esponse submission</w:t>
      </w:r>
      <w:r w:rsidR="00C76AB3" w:rsidRPr="00AB3120" w:rsidDel="00CE60F8">
        <w:rPr>
          <w:b/>
          <w:bCs/>
        </w:rPr>
        <w:t xml:space="preserve"> </w:t>
      </w:r>
      <w:r w:rsidR="00C76AB3" w:rsidRPr="00AB3120">
        <w:rPr>
          <w:b/>
          <w:bCs/>
        </w:rPr>
        <w:t>from this date.</w:t>
      </w:r>
    </w:p>
    <w:p w14:paraId="769709D6" w14:textId="77777777" w:rsidR="00394A76" w:rsidRDefault="00394A76" w:rsidP="00394A76">
      <w:pPr>
        <w:pStyle w:val="Heading2a"/>
      </w:pPr>
      <w:r>
        <w:t>Wednesday 15 November</w:t>
      </w:r>
    </w:p>
    <w:p w14:paraId="6B0BDFBB" w14:textId="2E247427" w:rsidR="00C76AB3" w:rsidRPr="00132DC6" w:rsidRDefault="00C76AB3" w:rsidP="00C76AB3">
      <w:pPr>
        <w:pStyle w:val="Heading3"/>
      </w:pPr>
      <w:r w:rsidRPr="00132DC6">
        <w:t>Response submission</w:t>
      </w:r>
      <w:r w:rsidR="00954ADD">
        <w:t>s</w:t>
      </w:r>
      <w:r w:rsidRPr="00132DC6">
        <w:t xml:space="preserve"> </w:t>
      </w:r>
    </w:p>
    <w:p w14:paraId="4192F1FC" w14:textId="042EE2D2" w:rsidR="00C76AB3" w:rsidRPr="00410B7F" w:rsidRDefault="001808F0" w:rsidP="000378E4">
      <w:pPr>
        <w:pStyle w:val="BodyA"/>
      </w:pPr>
      <w:r>
        <w:t>The</w:t>
      </w:r>
      <w:r w:rsidDel="0043629D">
        <w:t xml:space="preserve"> </w:t>
      </w:r>
      <w:r>
        <w:t xml:space="preserve">panel must receive </w:t>
      </w:r>
      <w:r w:rsidR="00954ADD">
        <w:t>your</w:t>
      </w:r>
      <w:r>
        <w:t xml:space="preserve"> s</w:t>
      </w:r>
      <w:r w:rsidRPr="00132DC6">
        <w:t xml:space="preserve">ubmission by </w:t>
      </w:r>
      <w:r w:rsidR="00C06895">
        <w:br/>
      </w:r>
      <w:r w:rsidRPr="000851EA">
        <w:t>5 p</w:t>
      </w:r>
      <w:r>
        <w:t xml:space="preserve">m on </w:t>
      </w:r>
      <w:r w:rsidR="002012D1">
        <w:t xml:space="preserve">Wednesday </w:t>
      </w:r>
      <w:r w:rsidR="00445AED">
        <w:t>15 November.</w:t>
      </w:r>
    </w:p>
    <w:p w14:paraId="5A9FCF67" w14:textId="6CF70520" w:rsidR="00C76AB3" w:rsidRDefault="00954ADD" w:rsidP="000378E4">
      <w:pPr>
        <w:pStyle w:val="BodyA"/>
        <w:rPr>
          <w:b/>
          <w:bCs/>
        </w:rPr>
      </w:pPr>
      <w:r>
        <w:t>The panel will not accept l</w:t>
      </w:r>
      <w:r w:rsidR="00C76AB3" w:rsidRPr="00132DC6">
        <w:t>ate submissions.</w:t>
      </w:r>
    </w:p>
    <w:p w14:paraId="650805B2" w14:textId="77777777" w:rsidR="0041716E" w:rsidRDefault="0041716E" w:rsidP="0041716E">
      <w:pPr>
        <w:pStyle w:val="Heading2a"/>
      </w:pPr>
      <w:r>
        <w:t>Wednesday 22 November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58128507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</w:t>
      </w:r>
      <w:r w:rsidR="003E054A">
        <w:t>ask</w:t>
      </w:r>
      <w:r w:rsidR="003E054A" w:rsidRPr="00132DC6">
        <w:t xml:space="preserve">s </w:t>
      </w:r>
      <w:r w:rsidRPr="00132DC6">
        <w:t>to speak about their response submission</w:t>
      </w:r>
      <w:r>
        <w:t xml:space="preserve"> at </w:t>
      </w:r>
      <w:r w:rsidR="00461035" w:rsidRPr="005975D4">
        <w:t xml:space="preserve">10 am </w:t>
      </w:r>
      <w:r w:rsidR="00363012">
        <w:t xml:space="preserve">on </w:t>
      </w:r>
      <w:r w:rsidR="00461035" w:rsidRPr="005975D4">
        <w:t>Wednesday 22 November.</w:t>
      </w:r>
    </w:p>
    <w:p w14:paraId="238F8159" w14:textId="238EA1E7" w:rsidR="00C76AB3" w:rsidRDefault="00B33CA4" w:rsidP="000378E4">
      <w:pPr>
        <w:pStyle w:val="BodyA"/>
      </w:pPr>
      <w:r w:rsidRPr="00132DC6">
        <w:t xml:space="preserve">The public hearing will not be held if </w:t>
      </w:r>
      <w:r w:rsidRPr="00132DC6" w:rsidDel="003E054A">
        <w:t xml:space="preserve">no </w:t>
      </w:r>
      <w:r w:rsidR="003E054A">
        <w:t>one ask</w:t>
      </w:r>
      <w:r w:rsidRPr="00132DC6">
        <w:t>s to speak.</w:t>
      </w:r>
    </w:p>
    <w:p w14:paraId="5864ABDA" w14:textId="77777777" w:rsidR="00E21D92" w:rsidRDefault="00E21D92" w:rsidP="00E21D92">
      <w:pPr>
        <w:pStyle w:val="Heading2a"/>
      </w:pPr>
      <w:r>
        <w:t>Wednesday 20 December</w:t>
      </w:r>
    </w:p>
    <w:p w14:paraId="3640F31C" w14:textId="5C01E5A7" w:rsidR="000378E4" w:rsidRDefault="000378E4" w:rsidP="000378E4">
      <w:pPr>
        <w:pStyle w:val="Heading3"/>
      </w:pPr>
      <w:r>
        <w:t>Final report</w:t>
      </w:r>
      <w:r w:rsidR="00E652DB">
        <w:t xml:space="preserve"> </w:t>
      </w:r>
    </w:p>
    <w:p w14:paraId="556A53A9" w14:textId="40B79F58" w:rsidR="00AB58D8" w:rsidRDefault="00A4094A" w:rsidP="000378E4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43629D">
        <w:t>its</w:t>
      </w:r>
      <w:r w:rsidR="0045156E">
        <w:t xml:space="preserve"> advice </w:t>
      </w:r>
      <w:r w:rsidRPr="00132DC6">
        <w:t>for the electoral structure</w:t>
      </w:r>
      <w:r>
        <w:t xml:space="preserve"> on</w:t>
      </w:r>
      <w:r w:rsidR="00C70EE1">
        <w:t xml:space="preserve"> </w:t>
      </w:r>
      <w:r w:rsidR="003138B4">
        <w:t>Wednesday 20 December.</w:t>
      </w:r>
    </w:p>
    <w:p w14:paraId="48E670BE" w14:textId="66D3C8A3" w:rsidR="00EF4709" w:rsidRDefault="00385E80" w:rsidP="000378E4">
      <w:pPr>
        <w:pStyle w:val="BodyA"/>
      </w:pPr>
      <w:r>
        <w:t xml:space="preserve">The </w:t>
      </w:r>
      <w:r w:rsidR="003E054A">
        <w:t>m</w:t>
      </w:r>
      <w:r>
        <w:t>inister will</w:t>
      </w:r>
      <w:r w:rsidR="00973BFD" w:rsidDel="00BA5F78">
        <w:t xml:space="preserve">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</w:t>
      </w:r>
      <w:r w:rsidR="00E87D70">
        <w:t xml:space="preserve">is expected to </w:t>
      </w:r>
      <w:r w:rsidR="00E46822">
        <w:t xml:space="preserve">apply at the </w:t>
      </w:r>
      <w:r w:rsidR="0043629D">
        <w:t>next local council general</w:t>
      </w:r>
      <w:r w:rsidR="00E46822">
        <w:t xml:space="preserve"> election.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E89DF1C" w:rsidR="00C46414" w:rsidRDefault="00C46414" w:rsidP="000378E4">
      <w:pPr>
        <w:pStyle w:val="BodyA"/>
      </w:pPr>
    </w:p>
    <w:p w14:paraId="6A4117C6" w14:textId="53296323" w:rsidR="00C46414" w:rsidRDefault="00C46414" w:rsidP="000378E4">
      <w:pPr>
        <w:pStyle w:val="BodyA"/>
      </w:pPr>
    </w:p>
    <w:p w14:paraId="75CD1F70" w14:textId="77777777" w:rsidR="005D76E4" w:rsidRDefault="005D76E4" w:rsidP="000378E4">
      <w:pPr>
        <w:pStyle w:val="BodyA"/>
      </w:pPr>
    </w:p>
    <w:p w14:paraId="23528168" w14:textId="48E07A61" w:rsidR="00B5389B" w:rsidRDefault="00B5389B" w:rsidP="00DB468D">
      <w:pPr>
        <w:pStyle w:val="Body"/>
      </w:pPr>
    </w:p>
    <w:p w14:paraId="1954E3F0" w14:textId="2F3B38B1" w:rsidR="007D07BF" w:rsidRDefault="00B5389B" w:rsidP="001F22A6">
      <w:pPr>
        <w:pStyle w:val="Heading2"/>
        <w:spacing w:after="120"/>
      </w:pPr>
      <w:r>
        <w:br w:type="column"/>
      </w:r>
      <w:r w:rsidR="007D07BF">
        <w:t>Submission guide</w:t>
      </w:r>
    </w:p>
    <w:p w14:paraId="5D3D3EFB" w14:textId="5993983C" w:rsidR="007D07BF" w:rsidRDefault="007D07BF" w:rsidP="007D07BF">
      <w:r>
        <w:t>You can d</w:t>
      </w:r>
      <w:r w:rsidRPr="00E2340E">
        <w:t xml:space="preserve">ownload </w:t>
      </w:r>
      <w:r w:rsidR="00324AA1">
        <w:t>a</w:t>
      </w:r>
      <w:r>
        <w:t xml:space="preserve"> </w:t>
      </w:r>
      <w:r w:rsidRPr="00E2340E">
        <w:t xml:space="preserve">submission guide from the VEC website at </w:t>
      </w:r>
      <w:hyperlink r:id="rId10" w:tooltip="Link to VEC website" w:history="1">
        <w:r w:rsidRPr="00E2340E">
          <w:rPr>
            <w:rStyle w:val="Hyperlink"/>
          </w:rPr>
          <w:t>vec.vic.gov.au</w:t>
        </w:r>
      </w:hyperlink>
    </w:p>
    <w:p w14:paraId="7B99F8F1" w14:textId="3B8C057B" w:rsidR="00004D0A" w:rsidRPr="007D07BF" w:rsidRDefault="00004D0A" w:rsidP="000B6772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096768E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C4E5" w14:textId="545DF0DC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>On the VEC website at</w:t>
      </w:r>
      <w:r w:rsidR="00BF41BB" w:rsidRPr="00BF41BB" w:rsidDel="00757292">
        <w:t xml:space="preserve"> </w:t>
      </w:r>
      <w:hyperlink r:id="rId13" w:tooltip="Link to VEC website" w:history="1">
        <w:r w:rsidR="00BF41BB" w:rsidRPr="00BF41BB">
          <w:rPr>
            <w:rStyle w:val="Hyperlink"/>
          </w:rPr>
          <w:t>vec.vic.gov.au</w:t>
        </w:r>
      </w:hyperlink>
    </w:p>
    <w:p w14:paraId="35082C4C" w14:textId="0342F60A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  <w:r w:rsidR="00757292">
        <w:rPr>
          <w:rStyle w:val="Hyperlink"/>
          <w:color w:val="auto"/>
          <w:u w:val="none"/>
        </w:rPr>
        <w:t>:</w:t>
      </w:r>
    </w:p>
    <w:p w14:paraId="088DF19D" w14:textId="43AB4719" w:rsidR="00BF41BB" w:rsidRPr="00BF41BB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4" w:history="1">
        <w:r w:rsidR="00E76ECE">
          <w:rPr>
            <w:rStyle w:val="Hyperlink"/>
          </w:rPr>
          <w:t>Melton.ERAPSubmissions@ vec.vic.gov.au</w:t>
        </w:r>
      </w:hyperlink>
    </w:p>
    <w:p w14:paraId="6834D6CF" w14:textId="08F55A9A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 w:rsidR="00757292">
        <w:rPr>
          <w:rStyle w:val="Hyperlink"/>
          <w:color w:val="auto"/>
          <w:u w:val="none"/>
        </w:rPr>
        <w:t>:</w:t>
      </w:r>
    </w:p>
    <w:p w14:paraId="61F529E3" w14:textId="20C3868E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757292">
        <w:t>r</w:t>
      </w:r>
      <w:r>
        <w:t xml:space="preserve">epresentation </w:t>
      </w:r>
      <w:r w:rsidR="00757292">
        <w:t>a</w:t>
      </w:r>
      <w:r>
        <w:t xml:space="preserve">dvisory </w:t>
      </w:r>
      <w:r w:rsidR="00757292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7329CBDC" w:rsidR="000378E4" w:rsidRDefault="00665C9D" w:rsidP="00BF41BB">
      <w:pPr>
        <w:pStyle w:val="Body"/>
        <w:spacing w:after="160" w:line="240" w:lineRule="auto"/>
      </w:pPr>
      <w:r>
        <w:t>Your</w:t>
      </w:r>
      <w:r w:rsidR="000378E4" w:rsidRPr="00306648">
        <w:t xml:space="preserve"> submission </w:t>
      </w:r>
      <w:r w:rsidR="005B4AD6">
        <w:t>will be</w:t>
      </w:r>
      <w:r w:rsidR="000378E4" w:rsidRPr="00306648">
        <w:t xml:space="preserve"> published on the VEC website</w:t>
      </w:r>
      <w:r w:rsidR="00EE0C38">
        <w:t>, including</w:t>
      </w:r>
      <w:r w:rsidR="000378E4" w:rsidRPr="00306648">
        <w:t xml:space="preserve"> </w:t>
      </w:r>
      <w:r w:rsidR="00EE0C38">
        <w:t>y</w:t>
      </w:r>
      <w:r w:rsidR="000378E4" w:rsidRPr="00306648">
        <w:t xml:space="preserve">our name and </w:t>
      </w:r>
      <w:r w:rsidR="000378E4">
        <w:t>suburb or town</w:t>
      </w:r>
      <w:r w:rsidR="000378E4" w:rsidRPr="00306648" w:rsidDel="00EE0C38">
        <w:t xml:space="preserve"> </w:t>
      </w:r>
      <w:r w:rsidR="000378E4" w:rsidRPr="00306648">
        <w:t xml:space="preserve">but </w:t>
      </w:r>
      <w:r w:rsidR="00EE0C38">
        <w:t xml:space="preserve">not </w:t>
      </w:r>
      <w:r w:rsidR="000378E4" w:rsidRPr="00306648">
        <w:t xml:space="preserve">your full address </w:t>
      </w:r>
      <w:r w:rsidR="00EE0C38">
        <w:t>or</w:t>
      </w:r>
      <w:r w:rsidR="00EE0C38" w:rsidRPr="00306648">
        <w:t xml:space="preserve"> </w:t>
      </w:r>
      <w:r w:rsidR="000378E4" w:rsidRPr="00306648">
        <w:t>contact details</w:t>
      </w:r>
      <w:r w:rsidR="006659C6">
        <w:t>.</w:t>
      </w:r>
      <w:r w:rsidR="000378E4" w:rsidRPr="00306648">
        <w:t xml:space="preserve"> </w:t>
      </w:r>
      <w:r w:rsidR="000378E4">
        <w:t xml:space="preserve">See the submission guide </w:t>
      </w:r>
      <w:r w:rsidR="00293440">
        <w:t xml:space="preserve">or </w:t>
      </w:r>
      <w:r w:rsidR="000378E4">
        <w:t xml:space="preserve">VEC website </w:t>
      </w:r>
      <w:r w:rsidR="00BF41BB">
        <w:t xml:space="preserve">at </w:t>
      </w:r>
      <w:hyperlink r:id="rId16" w:tooltip="Link to Privacy page on VEC websit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 w:rsidR="000378E4">
        <w:t>for privacy information.</w:t>
      </w:r>
    </w:p>
    <w:p w14:paraId="5E0D06D3" w14:textId="77777777" w:rsidR="00280596" w:rsidRDefault="00280596" w:rsidP="000B6772">
      <w:pPr>
        <w:pStyle w:val="Heading2"/>
      </w:pPr>
      <w:r>
        <w:t xml:space="preserve">One vote, one value </w:t>
      </w:r>
    </w:p>
    <w:p w14:paraId="01CD03C2" w14:textId="79A269C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3115DAB5" w14:textId="626E7422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is subdivided into wards, the number of voters each councillor represents </w:t>
      </w:r>
      <w:r w:rsidR="008E6336">
        <w:t xml:space="preserve">in each ward </w:t>
      </w:r>
      <w:r w:rsidR="0072203E">
        <w:t xml:space="preserve">must be plus-or-minus 10% of the </w:t>
      </w:r>
      <w:r w:rsidR="0072203E" w:rsidRPr="0051766D">
        <w:t>average number of voters per councillor for all wards</w:t>
      </w:r>
      <w:r w:rsidR="0072203E" w:rsidRPr="002528BB">
        <w:t xml:space="preserve">. </w:t>
      </w:r>
    </w:p>
    <w:p w14:paraId="2E741232" w14:textId="6FC0F016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</w:t>
      </w:r>
      <w:r w:rsidRPr="002528BB" w:rsidDel="00D03E25">
        <w:t xml:space="preserve"> </w:t>
      </w:r>
      <w:r w:rsidRPr="002528BB">
        <w:t xml:space="preserve">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4D05BE26" w:rsidR="00B560B9" w:rsidRDefault="00066652" w:rsidP="004C6E04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47AD6D9A" wp14:editId="0AFC1084">
            <wp:simplePos x="0" y="0"/>
            <wp:positionH relativeFrom="margin">
              <wp:align>left</wp:align>
            </wp:positionH>
            <wp:positionV relativeFrom="paragraph">
              <wp:posOffset>427355</wp:posOffset>
            </wp:positionV>
            <wp:extent cx="6267400" cy="4600575"/>
            <wp:effectExtent l="0" t="0" r="635" b="0"/>
            <wp:wrapNone/>
            <wp:docPr id="8" name="Picture 8" descr="Map of the electoral structure of Melton City Council showing the area is divided into 3 wards. As at July 2023 there are 9 councillors and a total of 120,696 vot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the electoral structure of Melton City Council showing the area is divided into 3 wards. As at July 2023 there are 9 councillors and a total of 120,696 voters. 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430" cy="460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0B9" w:rsidRPr="00FF3347"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14C6833" w14:textId="56C00885" w:rsidR="00E829F5" w:rsidRDefault="00E829F5" w:rsidP="00E829F5"/>
    <w:p w14:paraId="63BE2208" w14:textId="77777777" w:rsidR="00E829F5" w:rsidRDefault="00E829F5" w:rsidP="00E829F5"/>
    <w:p w14:paraId="201A1EB7" w14:textId="0FA2711E" w:rsidR="00E829F5" w:rsidRDefault="00E829F5" w:rsidP="00E829F5"/>
    <w:p w14:paraId="65DA3315" w14:textId="77777777" w:rsidR="00A03869" w:rsidRDefault="00A03869" w:rsidP="00E829F5"/>
    <w:p w14:paraId="4FC94E5A" w14:textId="454DB61C" w:rsidR="00E829F5" w:rsidRDefault="00E829F5" w:rsidP="00E829F5"/>
    <w:p w14:paraId="51503C5E" w14:textId="1F5C3E4E" w:rsidR="00FF4BBC" w:rsidRDefault="00FF4BBC" w:rsidP="00E829F5"/>
    <w:p w14:paraId="30CEFBB9" w14:textId="71E68A0F" w:rsidR="00303185" w:rsidRDefault="00303185" w:rsidP="00E829F5"/>
    <w:p w14:paraId="344B4CD3" w14:textId="69FCED62" w:rsidR="00F331DF" w:rsidRDefault="00F331DF" w:rsidP="00E829F5"/>
    <w:p w14:paraId="272BA8A9" w14:textId="2C3277EF" w:rsidR="00F331DF" w:rsidRDefault="00F331DF" w:rsidP="00E829F5"/>
    <w:p w14:paraId="272FCCA4" w14:textId="6FCA679F" w:rsidR="007A7027" w:rsidRDefault="007A7027" w:rsidP="00E829F5"/>
    <w:p w14:paraId="42F639DE" w14:textId="7B16E445" w:rsidR="007A7027" w:rsidRDefault="007A7027" w:rsidP="00E829F5"/>
    <w:p w14:paraId="3840171D" w14:textId="0DC38AAE" w:rsidR="007A7027" w:rsidRDefault="007A7027" w:rsidP="00E829F5"/>
    <w:p w14:paraId="21ABF234" w14:textId="77777777" w:rsidR="007A7027" w:rsidRDefault="007A7027" w:rsidP="00E829F5"/>
    <w:p w14:paraId="60D58D0E" w14:textId="60ADE8FE" w:rsidR="00303185" w:rsidRDefault="00303185" w:rsidP="00E829F5"/>
    <w:p w14:paraId="48783F04" w14:textId="77777777" w:rsidR="00E42BBF" w:rsidRDefault="00E42BBF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Ward listing table"/>
        <w:tblDescription w:val="This table lists the wards of Melton City Council, and number of councillors, voters and the deviation of each ward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7EE5CA65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64370A8A" w:rsidR="00043421" w:rsidRPr="007C7BB3" w:rsidRDefault="00FD08B5" w:rsidP="00FD08B5">
            <w:pPr>
              <w:spacing w:after="0" w:line="240" w:lineRule="auto"/>
            </w:pPr>
            <w:r>
              <w:t>Cambridge Ward</w:t>
            </w:r>
          </w:p>
        </w:tc>
        <w:tc>
          <w:tcPr>
            <w:tcW w:w="1710" w:type="dxa"/>
          </w:tcPr>
          <w:p w14:paraId="3E2481E2" w14:textId="642A439D" w:rsidR="00043421" w:rsidRPr="007C7BB3" w:rsidRDefault="004C3F04" w:rsidP="00FD08B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DFBF4C6" w14:textId="1349AC85" w:rsidR="00043421" w:rsidRPr="007C7BB3" w:rsidRDefault="00F566A0" w:rsidP="004D56EE">
            <w:pPr>
              <w:spacing w:after="0" w:line="240" w:lineRule="auto"/>
              <w:jc w:val="right"/>
            </w:pPr>
            <w:r>
              <w:t>44,022</w:t>
            </w:r>
          </w:p>
        </w:tc>
        <w:tc>
          <w:tcPr>
            <w:tcW w:w="1701" w:type="dxa"/>
          </w:tcPr>
          <w:p w14:paraId="52FFF372" w14:textId="2B2C1F86" w:rsidR="00043421" w:rsidRPr="007C7BB3" w:rsidRDefault="00C77B4B" w:rsidP="004D56EE">
            <w:pPr>
              <w:spacing w:after="0" w:line="240" w:lineRule="auto"/>
              <w:jc w:val="right"/>
            </w:pPr>
            <w:r>
              <w:t>+9.42%</w:t>
            </w:r>
          </w:p>
        </w:tc>
      </w:tr>
      <w:tr w:rsidR="00043421" w:rsidRPr="007C7BB3" w14:paraId="68D8D5A2" w14:textId="5F9A7570" w:rsidTr="007A7027">
        <w:tc>
          <w:tcPr>
            <w:tcW w:w="3388" w:type="dxa"/>
          </w:tcPr>
          <w:p w14:paraId="67BDED46" w14:textId="7216EBEA" w:rsidR="00043421" w:rsidRPr="007C7BB3" w:rsidRDefault="00FD08B5" w:rsidP="00FD08B5">
            <w:pPr>
              <w:spacing w:after="0" w:line="240" w:lineRule="auto"/>
            </w:pPr>
            <w:r>
              <w:t>Coburn Ward</w:t>
            </w:r>
          </w:p>
        </w:tc>
        <w:tc>
          <w:tcPr>
            <w:tcW w:w="1710" w:type="dxa"/>
          </w:tcPr>
          <w:p w14:paraId="7C447210" w14:textId="2E9C4C11" w:rsidR="00043421" w:rsidRPr="007C7BB3" w:rsidRDefault="00FD08B5" w:rsidP="00FD08B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5E42FE41" w14:textId="6D3A9317" w:rsidR="00043421" w:rsidRPr="007C7BB3" w:rsidRDefault="00E943BC" w:rsidP="004D56EE">
            <w:pPr>
              <w:spacing w:after="0" w:line="240" w:lineRule="auto"/>
              <w:jc w:val="right"/>
            </w:pPr>
            <w:r>
              <w:t>50</w:t>
            </w:r>
            <w:r w:rsidR="001E16C7">
              <w:t>,323</w:t>
            </w:r>
          </w:p>
        </w:tc>
        <w:tc>
          <w:tcPr>
            <w:tcW w:w="1701" w:type="dxa"/>
          </w:tcPr>
          <w:p w14:paraId="43982C12" w14:textId="5B7A7379" w:rsidR="00043421" w:rsidRPr="007C7BB3" w:rsidRDefault="00B036E6" w:rsidP="004D56EE">
            <w:pPr>
              <w:spacing w:after="0" w:line="240" w:lineRule="auto"/>
              <w:jc w:val="right"/>
            </w:pPr>
            <w:r>
              <w:t>-6.19%</w:t>
            </w:r>
          </w:p>
        </w:tc>
      </w:tr>
      <w:tr w:rsidR="00043421" w:rsidRPr="007C7BB3" w14:paraId="24CBD9D4" w14:textId="7B8A9AE0" w:rsidTr="007A7027">
        <w:tc>
          <w:tcPr>
            <w:tcW w:w="3388" w:type="dxa"/>
          </w:tcPr>
          <w:p w14:paraId="75ABA346" w14:textId="4DA30EC2" w:rsidR="00043421" w:rsidRPr="007C7BB3" w:rsidRDefault="00FD08B5" w:rsidP="00FD08B5">
            <w:pPr>
              <w:spacing w:after="0" w:line="240" w:lineRule="auto"/>
            </w:pPr>
            <w:r>
              <w:t>Watts Ward</w:t>
            </w:r>
          </w:p>
        </w:tc>
        <w:tc>
          <w:tcPr>
            <w:tcW w:w="1710" w:type="dxa"/>
          </w:tcPr>
          <w:p w14:paraId="54A3A3B3" w14:textId="037A16B3" w:rsidR="00043421" w:rsidRPr="007C7BB3" w:rsidRDefault="00FD08B5" w:rsidP="00FD08B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16AC4BA" w14:textId="32448085" w:rsidR="00043421" w:rsidRPr="007C7BB3" w:rsidRDefault="00857D7D" w:rsidP="004D56EE">
            <w:pPr>
              <w:spacing w:after="0" w:line="240" w:lineRule="auto"/>
              <w:jc w:val="right"/>
            </w:pPr>
            <w:r>
              <w:t>26,351</w:t>
            </w:r>
          </w:p>
        </w:tc>
        <w:tc>
          <w:tcPr>
            <w:tcW w:w="1701" w:type="dxa"/>
          </w:tcPr>
          <w:p w14:paraId="0F6472CC" w14:textId="2018A0DE" w:rsidR="00043421" w:rsidRPr="007C7BB3" w:rsidRDefault="00FD04C8" w:rsidP="004D56EE">
            <w:pPr>
              <w:spacing w:after="0" w:line="240" w:lineRule="auto"/>
              <w:jc w:val="right"/>
            </w:pPr>
            <w:r>
              <w:t>-1.75%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4A7FF4" w14:textId="77777777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0E542838" w:rsidR="00E36B4A" w:rsidRPr="008F68B0" w:rsidRDefault="00E36B4A" w:rsidP="00E36B4A">
      <w:pPr>
        <w:pStyle w:val="Body"/>
        <w:spacing w:after="120"/>
        <w:ind w:right="91"/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0868D5">
        <w:rPr>
          <w:rStyle w:val="normaltextrun"/>
          <w:rFonts w:cs="Arial"/>
          <w:color w:val="000000"/>
          <w:bdr w:val="none" w:sz="0" w:space="0" w:color="auto" w:frame="1"/>
        </w:rPr>
        <w:t>528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1A3DC467" w:rsidR="00E36B4A" w:rsidRDefault="00E36B4A" w:rsidP="00E36B4A">
      <w:pPr>
        <w:pStyle w:val="Heading3"/>
      </w:pPr>
      <w:r>
        <w:t>Voter</w:t>
      </w:r>
      <w:r w:rsidR="00AB292C">
        <w:t>s</w:t>
      </w:r>
      <w:r>
        <w:t xml:space="preserve"> per </w:t>
      </w:r>
      <w:r w:rsidR="003D489C">
        <w:t xml:space="preserve">square </w:t>
      </w:r>
      <w:r>
        <w:t>km</w:t>
      </w:r>
    </w:p>
    <w:p w14:paraId="2A013E8B" w14:textId="734677BB" w:rsidR="00E36B4A" w:rsidRDefault="00120623" w:rsidP="00E36B4A">
      <w:pPr>
        <w:pStyle w:val="Body"/>
      </w:pPr>
      <w:r>
        <w:t>22</w:t>
      </w:r>
      <w:r w:rsidR="009A3DCC">
        <w:t>8.6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0FF6C694" w14:textId="258EF7A6" w:rsidR="00D4462E" w:rsidRPr="00D4462E" w:rsidRDefault="00AC7EC7" w:rsidP="00881EBC">
      <w:r>
        <w:t>13,410</w:t>
      </w:r>
      <w:r w:rsidR="00846705">
        <w:br w:type="column"/>
      </w:r>
    </w:p>
    <w:p w14:paraId="08544C44" w14:textId="73F6B791" w:rsidR="00A66B53" w:rsidRPr="00A66B53" w:rsidRDefault="00A66B53" w:rsidP="00D96125">
      <w:pPr>
        <w:pStyle w:val="Body"/>
        <w:spacing w:after="120"/>
        <w:ind w:right="91"/>
      </w:pPr>
    </w:p>
    <w:p w14:paraId="742D206E" w14:textId="0A2481C4" w:rsidR="00846705" w:rsidRDefault="004B7D1A" w:rsidP="004B7D1A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72772CA0" w:rsidR="004B7D1A" w:rsidRDefault="00C20AE9" w:rsidP="00846705">
      <w:pPr>
        <w:pStyle w:val="Body"/>
      </w:pPr>
      <w:r>
        <w:t>178,960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3CD10367" w:rsidR="004B7D1A" w:rsidRPr="004B7D1A" w:rsidRDefault="009E3779" w:rsidP="004B7D1A">
      <w:r w:rsidRPr="009E3779">
        <w:t xml:space="preserve">5.2 </w:t>
      </w:r>
      <w:r w:rsidR="004B7D1A" w:rsidRPr="009E3779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45D5A578" w14:textId="77777777" w:rsidR="000D36B9" w:rsidRDefault="000D36B9" w:rsidP="00B316AF">
      <w:pPr>
        <w:pStyle w:val="Body"/>
        <w:jc w:val="right"/>
      </w:pPr>
    </w:p>
    <w:p w14:paraId="5C7E182B" w14:textId="5941A14B" w:rsidR="00846705" w:rsidRPr="00F56201" w:rsidRDefault="001028A6" w:rsidP="00B316AF">
      <w:pPr>
        <w:pStyle w:val="Body"/>
        <w:jc w:val="right"/>
      </w:pPr>
      <w:r>
        <w:t>More</w:t>
      </w:r>
      <w:r w:rsidR="004B7D1A" w:rsidRPr="00F56201">
        <w:t xml:space="preserve"> </w:t>
      </w:r>
      <w:r>
        <w:t>C</w:t>
      </w:r>
      <w:r w:rsidR="004B7D1A" w:rsidRPr="00F56201">
        <w:t xml:space="preserve">ensus statistics available at </w:t>
      </w:r>
      <w:hyperlink r:id="rId18" w:tooltip="Link to ABS website" w:history="1">
        <w:r w:rsidR="004B7D1A" w:rsidRPr="00212074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72046141" w14:textId="6BD3A308" w:rsidR="00E2340E" w:rsidRPr="003730AE" w:rsidRDefault="00976675" w:rsidP="003730AE">
      <w:pPr>
        <w:pStyle w:val="Heading1A"/>
      </w:pPr>
      <w:r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7D277DA0" wp14:editId="34FFB786">
            <wp:simplePos x="0" y="0"/>
            <wp:positionH relativeFrom="column">
              <wp:posOffset>3810</wp:posOffset>
            </wp:positionH>
            <wp:positionV relativeFrom="paragraph">
              <wp:posOffset>427355</wp:posOffset>
            </wp:positionV>
            <wp:extent cx="6120130" cy="8655685"/>
            <wp:effectExtent l="0" t="0" r="0" b="0"/>
            <wp:wrapNone/>
            <wp:docPr id="9" name="Picture 9" descr="Map of Melton City Council divided by locality (suburb or town). Data provided in the table bel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p of Melton City Council divided by locality (suburb or town). Data provided in the table below. 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1F"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77428EDD" w14:textId="3E5F5F31" w:rsidR="00405C5B" w:rsidRPr="00876CFA" w:rsidRDefault="00405C5B" w:rsidP="00876CFA"/>
    <w:p w14:paraId="4BFA3F21" w14:textId="2278E2F1" w:rsidR="00E2340E" w:rsidRDefault="00E2340E" w:rsidP="004D1C77"/>
    <w:p w14:paraId="0AA1D0C1" w14:textId="7CD22B77" w:rsidR="00876CFA" w:rsidRDefault="00876CFA" w:rsidP="004D1C77"/>
    <w:p w14:paraId="25DA6CA4" w14:textId="4786A585" w:rsidR="00876CFA" w:rsidRDefault="00876CFA" w:rsidP="004D1C77"/>
    <w:p w14:paraId="1388C645" w14:textId="012B0E93" w:rsidR="00876CFA" w:rsidRDefault="00876CFA" w:rsidP="004D1C77"/>
    <w:p w14:paraId="6BDAD825" w14:textId="45A2ECDE" w:rsidR="00876CFA" w:rsidRDefault="00876CFA" w:rsidP="004D1C77"/>
    <w:p w14:paraId="1665D58C" w14:textId="5BBE079E" w:rsidR="00876CFA" w:rsidRDefault="00876CFA" w:rsidP="004D1C77"/>
    <w:p w14:paraId="6B8CFC55" w14:textId="77777777" w:rsidR="00883F89" w:rsidRDefault="00883F89">
      <w:pPr>
        <w:spacing w:after="160" w:line="259" w:lineRule="auto"/>
        <w:rPr>
          <w:highlight w:val="yellow"/>
        </w:rPr>
        <w:sectPr w:rsidR="00883F89" w:rsidSect="00C22C32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38E70FD7" w14:textId="3B4967DB" w:rsidR="008F08CD" w:rsidRPr="003730AE" w:rsidRDefault="008F08CD" w:rsidP="008F08CD">
      <w:pPr>
        <w:pStyle w:val="Heading1A"/>
      </w:pPr>
      <w:r w:rsidRPr="003730AE">
        <w:lastRenderedPageBreak/>
        <w:t xml:space="preserve">Voter </w:t>
      </w:r>
      <w:r w:rsidRPr="00A81FB8">
        <w:t>numbers</w:t>
      </w:r>
      <w:r w:rsidRPr="003730AE">
        <w:t xml:space="preserve"> by locality</w:t>
      </w:r>
      <w:r w:rsidR="00506059">
        <w:t xml:space="preserve"> (</w:t>
      </w:r>
      <w:r w:rsidR="007A40D7">
        <w:t>table</w:t>
      </w:r>
      <w:r w:rsidR="00506059">
        <w:t>)</w:t>
      </w:r>
    </w:p>
    <w:p w14:paraId="750C7364" w14:textId="56C54C01" w:rsidR="00876CFA" w:rsidRDefault="00E927F1" w:rsidP="007D2859">
      <w:pPr>
        <w:pStyle w:val="Heading2"/>
      </w:pPr>
      <w:r>
        <w:t xml:space="preserve">Melton City Council </w:t>
      </w:r>
      <w:r w:rsidR="00094704">
        <w:t>voter</w:t>
      </w:r>
      <w:r w:rsidR="005A7A95">
        <w:t xml:space="preserve"> numbers at </w:t>
      </w:r>
      <w:r w:rsidR="006E2602">
        <w:t>25 July 2023</w:t>
      </w:r>
    </w:p>
    <w:p w14:paraId="5AC333EC" w14:textId="77777777" w:rsidR="00A51DFB" w:rsidRDefault="00A51DFB" w:rsidP="00361394">
      <w:pPr>
        <w:sectPr w:rsidR="00A51DFB" w:rsidSect="00E670D3">
          <w:footerReference w:type="default" r:id="rId20"/>
          <w:pgSz w:w="16838" w:h="11906" w:orient="landscape" w:code="9"/>
          <w:pgMar w:top="737" w:right="737" w:bottom="1134" w:left="1134" w:header="397" w:footer="397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Locality Table"/>
        <w:tblDescription w:val="Table listing each locality in  Melton City Council, with the voter numbers in each locality"/>
      </w:tblPr>
      <w:tblGrid>
        <w:gridCol w:w="2376"/>
        <w:gridCol w:w="1276"/>
      </w:tblGrid>
      <w:tr w:rsidR="005A7A95" w14:paraId="3AD61C89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3E0F15EF" w14:textId="54659CA9" w:rsidR="005A7A95" w:rsidRDefault="005A7A95" w:rsidP="00E670D3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63C9412C" w14:textId="3D5BFF62" w:rsidR="005A7A95" w:rsidRDefault="00573BF1" w:rsidP="00E670D3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525F8E" w14:paraId="2F66B2D4" w14:textId="77777777" w:rsidTr="00563664">
        <w:tc>
          <w:tcPr>
            <w:tcW w:w="2376" w:type="dxa"/>
          </w:tcPr>
          <w:p w14:paraId="43118EA8" w14:textId="4AE6DC72" w:rsidR="00525F8E" w:rsidRDefault="00525F8E" w:rsidP="00525F8E">
            <w:pPr>
              <w:spacing w:after="0" w:line="240" w:lineRule="auto"/>
            </w:pPr>
            <w:r w:rsidRPr="00842C6E">
              <w:t>Aintree</w:t>
            </w:r>
          </w:p>
        </w:tc>
        <w:tc>
          <w:tcPr>
            <w:tcW w:w="1276" w:type="dxa"/>
          </w:tcPr>
          <w:p w14:paraId="139AA989" w14:textId="15A3CF91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4,349 </w:t>
            </w:r>
          </w:p>
        </w:tc>
      </w:tr>
      <w:tr w:rsidR="00525F8E" w14:paraId="2A3A471E" w14:textId="77777777" w:rsidTr="00563664">
        <w:tc>
          <w:tcPr>
            <w:tcW w:w="2376" w:type="dxa"/>
          </w:tcPr>
          <w:p w14:paraId="11E7427D" w14:textId="485EB276" w:rsidR="00525F8E" w:rsidRDefault="00525F8E" w:rsidP="00525F8E">
            <w:pPr>
              <w:spacing w:after="0" w:line="240" w:lineRule="auto"/>
            </w:pPr>
            <w:r w:rsidRPr="00842C6E">
              <w:t>Bonnie Brook</w:t>
            </w:r>
          </w:p>
        </w:tc>
        <w:tc>
          <w:tcPr>
            <w:tcW w:w="1276" w:type="dxa"/>
          </w:tcPr>
          <w:p w14:paraId="6FEE7638" w14:textId="73F128F6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661 </w:t>
            </w:r>
          </w:p>
        </w:tc>
      </w:tr>
      <w:tr w:rsidR="00525F8E" w14:paraId="5FE104B4" w14:textId="77777777" w:rsidTr="00563664">
        <w:tc>
          <w:tcPr>
            <w:tcW w:w="2376" w:type="dxa"/>
          </w:tcPr>
          <w:p w14:paraId="18C71EA5" w14:textId="05BD6C3E" w:rsidR="00525F8E" w:rsidRDefault="00525F8E" w:rsidP="00525F8E">
            <w:pPr>
              <w:spacing w:after="0" w:line="240" w:lineRule="auto"/>
            </w:pPr>
            <w:r w:rsidRPr="00842C6E">
              <w:t>Brookfield</w:t>
            </w:r>
          </w:p>
        </w:tc>
        <w:tc>
          <w:tcPr>
            <w:tcW w:w="1276" w:type="dxa"/>
          </w:tcPr>
          <w:p w14:paraId="29EF6421" w14:textId="4EEE3833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6,821 </w:t>
            </w:r>
          </w:p>
        </w:tc>
      </w:tr>
      <w:tr w:rsidR="00525F8E" w14:paraId="18431158" w14:textId="77777777" w:rsidTr="00563664">
        <w:tc>
          <w:tcPr>
            <w:tcW w:w="2376" w:type="dxa"/>
          </w:tcPr>
          <w:p w14:paraId="567E4881" w14:textId="23EEE6C7" w:rsidR="00525F8E" w:rsidRDefault="00525F8E" w:rsidP="00525F8E">
            <w:pPr>
              <w:spacing w:after="0" w:line="240" w:lineRule="auto"/>
            </w:pPr>
            <w:r w:rsidRPr="00842C6E">
              <w:t>Burnside</w:t>
            </w:r>
          </w:p>
        </w:tc>
        <w:tc>
          <w:tcPr>
            <w:tcW w:w="1276" w:type="dxa"/>
          </w:tcPr>
          <w:p w14:paraId="45B051E8" w14:textId="1F182980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3,909 </w:t>
            </w:r>
          </w:p>
        </w:tc>
      </w:tr>
      <w:tr w:rsidR="00525F8E" w14:paraId="6077AC09" w14:textId="77777777" w:rsidTr="00563664">
        <w:tc>
          <w:tcPr>
            <w:tcW w:w="2376" w:type="dxa"/>
          </w:tcPr>
          <w:p w14:paraId="5FFD0B33" w14:textId="7CFCD8BB" w:rsidR="00525F8E" w:rsidRDefault="00525F8E" w:rsidP="00525F8E">
            <w:pPr>
              <w:spacing w:after="0" w:line="240" w:lineRule="auto"/>
            </w:pPr>
            <w:r w:rsidRPr="00842C6E">
              <w:t>Burnside Heights</w:t>
            </w:r>
          </w:p>
        </w:tc>
        <w:tc>
          <w:tcPr>
            <w:tcW w:w="1276" w:type="dxa"/>
          </w:tcPr>
          <w:p w14:paraId="09A38024" w14:textId="0B1377D8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3,752 </w:t>
            </w:r>
          </w:p>
        </w:tc>
      </w:tr>
      <w:tr w:rsidR="00525F8E" w14:paraId="663D9B17" w14:textId="77777777" w:rsidTr="00563664">
        <w:tc>
          <w:tcPr>
            <w:tcW w:w="2376" w:type="dxa"/>
          </w:tcPr>
          <w:p w14:paraId="6A0FAFA1" w14:textId="04E96154" w:rsidR="00525F8E" w:rsidRDefault="00525F8E" w:rsidP="00525F8E">
            <w:pPr>
              <w:spacing w:after="0" w:line="240" w:lineRule="auto"/>
            </w:pPr>
            <w:r w:rsidRPr="00842C6E">
              <w:t>Caroline Springs</w:t>
            </w:r>
          </w:p>
        </w:tc>
        <w:tc>
          <w:tcPr>
            <w:tcW w:w="1276" w:type="dxa"/>
          </w:tcPr>
          <w:p w14:paraId="76D1B5EF" w14:textId="08478E6A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15,896 </w:t>
            </w:r>
          </w:p>
        </w:tc>
      </w:tr>
      <w:tr w:rsidR="00525F8E" w14:paraId="08E16CA4" w14:textId="77777777" w:rsidTr="00563664">
        <w:tc>
          <w:tcPr>
            <w:tcW w:w="2376" w:type="dxa"/>
          </w:tcPr>
          <w:p w14:paraId="67397F6C" w14:textId="3C2F2324" w:rsidR="00525F8E" w:rsidRDefault="00525F8E" w:rsidP="00525F8E">
            <w:pPr>
              <w:spacing w:after="0" w:line="240" w:lineRule="auto"/>
            </w:pPr>
            <w:proofErr w:type="spellStart"/>
            <w:r w:rsidRPr="00842C6E">
              <w:t>Cobblebank</w:t>
            </w:r>
            <w:proofErr w:type="spellEnd"/>
          </w:p>
        </w:tc>
        <w:tc>
          <w:tcPr>
            <w:tcW w:w="1276" w:type="dxa"/>
          </w:tcPr>
          <w:p w14:paraId="23DA4DA5" w14:textId="7764037A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1,820 </w:t>
            </w:r>
          </w:p>
        </w:tc>
      </w:tr>
      <w:tr w:rsidR="00525F8E" w14:paraId="7380D8B1" w14:textId="77777777" w:rsidTr="00563664">
        <w:tc>
          <w:tcPr>
            <w:tcW w:w="2376" w:type="dxa"/>
          </w:tcPr>
          <w:p w14:paraId="15D47673" w14:textId="52E652A2" w:rsidR="00525F8E" w:rsidRDefault="00525F8E" w:rsidP="00525F8E">
            <w:pPr>
              <w:spacing w:after="0" w:line="240" w:lineRule="auto"/>
            </w:pPr>
            <w:proofErr w:type="spellStart"/>
            <w:r w:rsidRPr="00842C6E">
              <w:t>Deanside</w:t>
            </w:r>
            <w:proofErr w:type="spellEnd"/>
          </w:p>
        </w:tc>
        <w:tc>
          <w:tcPr>
            <w:tcW w:w="1276" w:type="dxa"/>
          </w:tcPr>
          <w:p w14:paraId="12D0E8D4" w14:textId="68FCFFAB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1,763 </w:t>
            </w:r>
          </w:p>
        </w:tc>
      </w:tr>
      <w:tr w:rsidR="00525F8E" w14:paraId="13FEEAAF" w14:textId="77777777" w:rsidTr="00563664">
        <w:tc>
          <w:tcPr>
            <w:tcW w:w="2376" w:type="dxa"/>
          </w:tcPr>
          <w:p w14:paraId="730856A0" w14:textId="4CE935C3" w:rsidR="00525F8E" w:rsidRDefault="00525F8E" w:rsidP="00525F8E">
            <w:pPr>
              <w:spacing w:after="0" w:line="240" w:lineRule="auto"/>
            </w:pPr>
            <w:r w:rsidRPr="00842C6E">
              <w:t>Diggers Rest</w:t>
            </w:r>
          </w:p>
        </w:tc>
        <w:tc>
          <w:tcPr>
            <w:tcW w:w="1276" w:type="dxa"/>
          </w:tcPr>
          <w:p w14:paraId="21F01FC1" w14:textId="29C0503C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4,113 </w:t>
            </w:r>
          </w:p>
        </w:tc>
      </w:tr>
      <w:tr w:rsidR="00525F8E" w14:paraId="1B615D7C" w14:textId="77777777" w:rsidTr="00563664">
        <w:tc>
          <w:tcPr>
            <w:tcW w:w="2376" w:type="dxa"/>
          </w:tcPr>
          <w:p w14:paraId="2EFDDD9F" w14:textId="51D2D1D5" w:rsidR="00525F8E" w:rsidRDefault="00525F8E" w:rsidP="00525F8E">
            <w:pPr>
              <w:spacing w:after="0" w:line="240" w:lineRule="auto"/>
            </w:pPr>
            <w:r w:rsidRPr="00842C6E">
              <w:t>Exford</w:t>
            </w:r>
          </w:p>
        </w:tc>
        <w:tc>
          <w:tcPr>
            <w:tcW w:w="1276" w:type="dxa"/>
          </w:tcPr>
          <w:p w14:paraId="5C2BE79D" w14:textId="1FC8AF86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87 </w:t>
            </w:r>
          </w:p>
        </w:tc>
      </w:tr>
      <w:tr w:rsidR="00525F8E" w14:paraId="63390764" w14:textId="77777777" w:rsidTr="00563664">
        <w:tc>
          <w:tcPr>
            <w:tcW w:w="2376" w:type="dxa"/>
          </w:tcPr>
          <w:p w14:paraId="6B9E45D2" w14:textId="710264AB" w:rsidR="00525F8E" w:rsidRDefault="00525F8E" w:rsidP="00525F8E">
            <w:pPr>
              <w:spacing w:after="0" w:line="240" w:lineRule="auto"/>
            </w:pPr>
            <w:r w:rsidRPr="00842C6E">
              <w:t>Eynesbury</w:t>
            </w:r>
          </w:p>
        </w:tc>
        <w:tc>
          <w:tcPr>
            <w:tcW w:w="1276" w:type="dxa"/>
          </w:tcPr>
          <w:p w14:paraId="31E96E4B" w14:textId="03DCEEC8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2,013 </w:t>
            </w:r>
          </w:p>
        </w:tc>
      </w:tr>
      <w:tr w:rsidR="00525F8E" w14:paraId="1DA5CB6B" w14:textId="77777777" w:rsidTr="00563664">
        <w:tc>
          <w:tcPr>
            <w:tcW w:w="2376" w:type="dxa"/>
          </w:tcPr>
          <w:p w14:paraId="7D920906" w14:textId="4DC12F78" w:rsidR="00525F8E" w:rsidRDefault="00525F8E" w:rsidP="00525F8E">
            <w:pPr>
              <w:spacing w:after="0" w:line="240" w:lineRule="auto"/>
            </w:pPr>
            <w:r w:rsidRPr="00842C6E">
              <w:t>Fieldstone</w:t>
            </w:r>
          </w:p>
        </w:tc>
        <w:tc>
          <w:tcPr>
            <w:tcW w:w="1276" w:type="dxa"/>
          </w:tcPr>
          <w:p w14:paraId="66712503" w14:textId="0746ED02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35 </w:t>
            </w:r>
          </w:p>
        </w:tc>
      </w:tr>
      <w:tr w:rsidR="00525F8E" w14:paraId="7CEEB0FA" w14:textId="77777777" w:rsidTr="00563664">
        <w:tc>
          <w:tcPr>
            <w:tcW w:w="2376" w:type="dxa"/>
          </w:tcPr>
          <w:p w14:paraId="5B538F02" w14:textId="46FF141B" w:rsidR="00525F8E" w:rsidRDefault="00525F8E" w:rsidP="00525F8E">
            <w:pPr>
              <w:spacing w:after="0" w:line="240" w:lineRule="auto"/>
            </w:pPr>
            <w:r w:rsidRPr="00842C6E">
              <w:t>Fraser Rise</w:t>
            </w:r>
          </w:p>
        </w:tc>
        <w:tc>
          <w:tcPr>
            <w:tcW w:w="1276" w:type="dxa"/>
          </w:tcPr>
          <w:p w14:paraId="2FA23597" w14:textId="42B33A5B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6,587 </w:t>
            </w:r>
          </w:p>
        </w:tc>
      </w:tr>
      <w:tr w:rsidR="00525F8E" w14:paraId="6366ECF4" w14:textId="77777777" w:rsidTr="00563664">
        <w:tc>
          <w:tcPr>
            <w:tcW w:w="2376" w:type="dxa"/>
          </w:tcPr>
          <w:p w14:paraId="7091B15A" w14:textId="70D29A22" w:rsidR="00525F8E" w:rsidRDefault="00525F8E" w:rsidP="00525F8E">
            <w:pPr>
              <w:spacing w:after="0" w:line="240" w:lineRule="auto"/>
            </w:pPr>
            <w:proofErr w:type="spellStart"/>
            <w:r w:rsidRPr="00842C6E">
              <w:t>Grangefields</w:t>
            </w:r>
            <w:proofErr w:type="spellEnd"/>
          </w:p>
        </w:tc>
        <w:tc>
          <w:tcPr>
            <w:tcW w:w="1276" w:type="dxa"/>
          </w:tcPr>
          <w:p w14:paraId="204DCAB9" w14:textId="5A700BD4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89 </w:t>
            </w:r>
          </w:p>
        </w:tc>
      </w:tr>
      <w:tr w:rsidR="00525F8E" w14:paraId="1A531215" w14:textId="77777777" w:rsidTr="00563664">
        <w:tc>
          <w:tcPr>
            <w:tcW w:w="2376" w:type="dxa"/>
          </w:tcPr>
          <w:p w14:paraId="5FA73334" w14:textId="17829910" w:rsidR="00525F8E" w:rsidRDefault="00525F8E" w:rsidP="00525F8E">
            <w:pPr>
              <w:spacing w:after="0" w:line="240" w:lineRule="auto"/>
            </w:pPr>
            <w:r w:rsidRPr="00842C6E">
              <w:t>Harkness</w:t>
            </w:r>
          </w:p>
        </w:tc>
        <w:tc>
          <w:tcPr>
            <w:tcW w:w="1276" w:type="dxa"/>
          </w:tcPr>
          <w:p w14:paraId="2C642E5B" w14:textId="0836B483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7,585 </w:t>
            </w:r>
          </w:p>
        </w:tc>
      </w:tr>
      <w:tr w:rsidR="00525F8E" w14:paraId="60C5D389" w14:textId="77777777" w:rsidTr="00563664">
        <w:tc>
          <w:tcPr>
            <w:tcW w:w="2376" w:type="dxa"/>
          </w:tcPr>
          <w:p w14:paraId="0865D805" w14:textId="35B7B3D2" w:rsidR="00525F8E" w:rsidRDefault="00525F8E" w:rsidP="00525F8E">
            <w:pPr>
              <w:spacing w:after="0" w:line="240" w:lineRule="auto"/>
            </w:pPr>
            <w:r w:rsidRPr="00842C6E">
              <w:t>Hillside</w:t>
            </w:r>
          </w:p>
        </w:tc>
        <w:tc>
          <w:tcPr>
            <w:tcW w:w="1276" w:type="dxa"/>
          </w:tcPr>
          <w:p w14:paraId="461CFA94" w14:textId="637A5BE6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11,669 </w:t>
            </w:r>
          </w:p>
        </w:tc>
      </w:tr>
      <w:tr w:rsidR="00525F8E" w14:paraId="32A2C38F" w14:textId="77777777" w:rsidTr="00563664">
        <w:tc>
          <w:tcPr>
            <w:tcW w:w="2376" w:type="dxa"/>
          </w:tcPr>
          <w:p w14:paraId="273554E0" w14:textId="682473DF" w:rsidR="00525F8E" w:rsidRDefault="00525F8E" w:rsidP="00525F8E">
            <w:pPr>
              <w:spacing w:after="0" w:line="240" w:lineRule="auto"/>
            </w:pPr>
            <w:r w:rsidRPr="00842C6E">
              <w:t>Kurunjang</w:t>
            </w:r>
          </w:p>
        </w:tc>
        <w:tc>
          <w:tcPr>
            <w:tcW w:w="1276" w:type="dxa"/>
          </w:tcPr>
          <w:p w14:paraId="4405EEB1" w14:textId="597E32BD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7,298 </w:t>
            </w:r>
          </w:p>
        </w:tc>
      </w:tr>
      <w:tr w:rsidR="00525F8E" w14:paraId="776B96BA" w14:textId="77777777" w:rsidTr="00563664">
        <w:tc>
          <w:tcPr>
            <w:tcW w:w="2376" w:type="dxa"/>
          </w:tcPr>
          <w:p w14:paraId="378C5B43" w14:textId="596D58BF" w:rsidR="00525F8E" w:rsidRDefault="00525F8E" w:rsidP="00525F8E">
            <w:pPr>
              <w:spacing w:after="0" w:line="240" w:lineRule="auto"/>
            </w:pPr>
            <w:r w:rsidRPr="00842C6E">
              <w:t>Melton</w:t>
            </w:r>
          </w:p>
        </w:tc>
        <w:tc>
          <w:tcPr>
            <w:tcW w:w="1276" w:type="dxa"/>
          </w:tcPr>
          <w:p w14:paraId="1E95E47F" w14:textId="52F27A4B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5,811 </w:t>
            </w:r>
          </w:p>
        </w:tc>
      </w:tr>
      <w:tr w:rsidR="00525F8E" w14:paraId="23E1B742" w14:textId="77777777" w:rsidTr="00563664">
        <w:tc>
          <w:tcPr>
            <w:tcW w:w="2376" w:type="dxa"/>
          </w:tcPr>
          <w:p w14:paraId="7CB15387" w14:textId="3B4A6018" w:rsidR="00525F8E" w:rsidRDefault="00525F8E" w:rsidP="00525F8E">
            <w:pPr>
              <w:spacing w:after="0" w:line="240" w:lineRule="auto"/>
            </w:pPr>
            <w:r w:rsidRPr="00842C6E">
              <w:t>Melton South</w:t>
            </w:r>
          </w:p>
        </w:tc>
        <w:tc>
          <w:tcPr>
            <w:tcW w:w="1276" w:type="dxa"/>
          </w:tcPr>
          <w:p w14:paraId="39DE6551" w14:textId="2F55522F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7,527 </w:t>
            </w:r>
          </w:p>
        </w:tc>
      </w:tr>
      <w:tr w:rsidR="00525F8E" w14:paraId="224AA8C0" w14:textId="77777777" w:rsidTr="00563664">
        <w:tc>
          <w:tcPr>
            <w:tcW w:w="2376" w:type="dxa"/>
          </w:tcPr>
          <w:p w14:paraId="280DE737" w14:textId="773EAA44" w:rsidR="00525F8E" w:rsidRDefault="00525F8E" w:rsidP="00525F8E">
            <w:pPr>
              <w:spacing w:after="0" w:line="240" w:lineRule="auto"/>
            </w:pPr>
            <w:r w:rsidRPr="00842C6E">
              <w:t>Melton West</w:t>
            </w:r>
          </w:p>
        </w:tc>
        <w:tc>
          <w:tcPr>
            <w:tcW w:w="1276" w:type="dxa"/>
          </w:tcPr>
          <w:p w14:paraId="386C000C" w14:textId="3A16E0B3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5,993 </w:t>
            </w:r>
          </w:p>
        </w:tc>
      </w:tr>
      <w:tr w:rsidR="00525F8E" w14:paraId="2E4D7646" w14:textId="77777777" w:rsidTr="00563664">
        <w:tc>
          <w:tcPr>
            <w:tcW w:w="2376" w:type="dxa"/>
          </w:tcPr>
          <w:p w14:paraId="6473B891" w14:textId="1AB6FF62" w:rsidR="00525F8E" w:rsidRDefault="00525F8E" w:rsidP="00525F8E">
            <w:pPr>
              <w:spacing w:after="0" w:line="240" w:lineRule="auto"/>
            </w:pPr>
            <w:r w:rsidRPr="00842C6E">
              <w:t>Mount Cottrell</w:t>
            </w:r>
          </w:p>
        </w:tc>
        <w:tc>
          <w:tcPr>
            <w:tcW w:w="1276" w:type="dxa"/>
          </w:tcPr>
          <w:p w14:paraId="467C6C24" w14:textId="79700999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163 </w:t>
            </w:r>
          </w:p>
        </w:tc>
      </w:tr>
      <w:tr w:rsidR="00525F8E" w14:paraId="02D9D403" w14:textId="77777777" w:rsidTr="00563664">
        <w:tc>
          <w:tcPr>
            <w:tcW w:w="2376" w:type="dxa"/>
          </w:tcPr>
          <w:p w14:paraId="5BCBEBBB" w14:textId="5A2D18DC" w:rsidR="00525F8E" w:rsidRDefault="00525F8E" w:rsidP="00525F8E">
            <w:pPr>
              <w:spacing w:after="0" w:line="240" w:lineRule="auto"/>
            </w:pPr>
            <w:r w:rsidRPr="00842C6E">
              <w:t>Parwan</w:t>
            </w:r>
          </w:p>
        </w:tc>
        <w:tc>
          <w:tcPr>
            <w:tcW w:w="1276" w:type="dxa"/>
          </w:tcPr>
          <w:p w14:paraId="391F5A59" w14:textId="0F1F8784" w:rsidR="00525F8E" w:rsidRDefault="00525F8E" w:rsidP="00525F8E">
            <w:pPr>
              <w:spacing w:after="0" w:line="240" w:lineRule="auto"/>
              <w:jc w:val="right"/>
            </w:pPr>
            <w:r w:rsidRPr="00842C6E">
              <w:t xml:space="preserve"> 9 </w:t>
            </w:r>
          </w:p>
        </w:tc>
      </w:tr>
    </w:tbl>
    <w:p w14:paraId="7C0CD6C4" w14:textId="4180821A" w:rsidR="005A7A95" w:rsidRDefault="005A7A95" w:rsidP="004D1C77"/>
    <w:p w14:paraId="7A0C06B1" w14:textId="341E277E" w:rsidR="00A51DFB" w:rsidRDefault="00A51DFB" w:rsidP="004D1C77"/>
    <w:p w14:paraId="03DDCE31" w14:textId="6F3BD0DD" w:rsidR="00A51DFB" w:rsidRDefault="00A51DFB" w:rsidP="004D1C77"/>
    <w:p w14:paraId="64C8AEC9" w14:textId="01E642A5" w:rsidR="00A51DFB" w:rsidRDefault="00A51DFB" w:rsidP="004D1C77"/>
    <w:p w14:paraId="79975D73" w14:textId="3EE8F6BF" w:rsidR="00A51DFB" w:rsidRDefault="00A51DFB" w:rsidP="004D1C77"/>
    <w:p w14:paraId="0A4ED26F" w14:textId="0CEBA606" w:rsidR="00A51DFB" w:rsidRDefault="00A51DFB" w:rsidP="004D1C77"/>
    <w:p w14:paraId="474CE269" w14:textId="6B96B2C1" w:rsidR="00A51DFB" w:rsidRDefault="00A51DFB" w:rsidP="004D1C77"/>
    <w:p w14:paraId="0F548370" w14:textId="384313C3" w:rsidR="00A51DFB" w:rsidRDefault="00A51DFB" w:rsidP="004D1C77"/>
    <w:p w14:paraId="005A02E6" w14:textId="182DE9FA" w:rsidR="00A51DFB" w:rsidRDefault="00A51DFB" w:rsidP="004D1C77"/>
    <w:p w14:paraId="3475ED0C" w14:textId="2B13A34F" w:rsidR="00A51DFB" w:rsidRDefault="00A51DFB" w:rsidP="004D1C77"/>
    <w:p w14:paraId="2B6CD15C" w14:textId="08A89117" w:rsidR="00A51DFB" w:rsidRDefault="00A51DFB" w:rsidP="004D1C77"/>
    <w:p w14:paraId="45D2CA97" w14:textId="42B2D547" w:rsidR="00A51DFB" w:rsidRDefault="00A51DFB" w:rsidP="004D1C77"/>
    <w:p w14:paraId="61ACD723" w14:textId="3EC64B75" w:rsidR="00A51DFB" w:rsidRDefault="00A51DFB" w:rsidP="004D1C77"/>
    <w:p w14:paraId="58499700" w14:textId="1A32D07D" w:rsidR="00A51DFB" w:rsidRDefault="00A51DFB" w:rsidP="004D1C77"/>
    <w:p w14:paraId="2A751E0F" w14:textId="6A0EE656" w:rsidR="00A51DFB" w:rsidRDefault="00A51DFB" w:rsidP="004D1C7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Locality Table"/>
        <w:tblDescription w:val="Table listing each locality in  Melton City Council, with the voter numbers in each locality"/>
      </w:tblPr>
      <w:tblGrid>
        <w:gridCol w:w="2376"/>
        <w:gridCol w:w="1276"/>
      </w:tblGrid>
      <w:tr w:rsidR="00A51DFB" w14:paraId="362A230A" w14:textId="77777777" w:rsidTr="0056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376" w:type="dxa"/>
            <w:shd w:val="clear" w:color="auto" w:fill="30285A"/>
            <w:vAlign w:val="center"/>
          </w:tcPr>
          <w:p w14:paraId="1E515A3D" w14:textId="77777777" w:rsidR="00A51DFB" w:rsidRDefault="00A51DFB" w:rsidP="004D56EE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6" w:type="dxa"/>
            <w:shd w:val="clear" w:color="auto" w:fill="30285A"/>
            <w:vAlign w:val="center"/>
          </w:tcPr>
          <w:p w14:paraId="31FF9CAB" w14:textId="77777777" w:rsidR="00A51DFB" w:rsidRDefault="00A51DFB" w:rsidP="004D56EE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05243A" w14:paraId="23C9F180" w14:textId="77777777" w:rsidTr="00563664">
        <w:tc>
          <w:tcPr>
            <w:tcW w:w="2376" w:type="dxa"/>
          </w:tcPr>
          <w:p w14:paraId="098F0516" w14:textId="4BF12075" w:rsidR="0005243A" w:rsidRDefault="0005243A" w:rsidP="0005243A">
            <w:pPr>
              <w:spacing w:after="0" w:line="240" w:lineRule="auto"/>
            </w:pPr>
            <w:r w:rsidRPr="004E1DCE">
              <w:t>Plumpton</w:t>
            </w:r>
          </w:p>
        </w:tc>
        <w:tc>
          <w:tcPr>
            <w:tcW w:w="1276" w:type="dxa"/>
          </w:tcPr>
          <w:p w14:paraId="4EC2D749" w14:textId="7C7706AF" w:rsidR="0005243A" w:rsidRDefault="0005243A" w:rsidP="0005243A">
            <w:pPr>
              <w:spacing w:after="0" w:line="240" w:lineRule="auto"/>
              <w:jc w:val="right"/>
            </w:pPr>
            <w:r w:rsidRPr="004E1DCE">
              <w:t xml:space="preserve"> 80 </w:t>
            </w:r>
          </w:p>
        </w:tc>
      </w:tr>
      <w:tr w:rsidR="0005243A" w14:paraId="356D573F" w14:textId="77777777" w:rsidTr="00563664">
        <w:tc>
          <w:tcPr>
            <w:tcW w:w="2376" w:type="dxa"/>
          </w:tcPr>
          <w:p w14:paraId="15427725" w14:textId="7D487423" w:rsidR="0005243A" w:rsidRDefault="0005243A" w:rsidP="0005243A">
            <w:pPr>
              <w:spacing w:after="0" w:line="240" w:lineRule="auto"/>
            </w:pPr>
            <w:r w:rsidRPr="004E1DCE">
              <w:t>Ravenhall</w:t>
            </w:r>
          </w:p>
        </w:tc>
        <w:tc>
          <w:tcPr>
            <w:tcW w:w="1276" w:type="dxa"/>
          </w:tcPr>
          <w:p w14:paraId="31E19066" w14:textId="5F9C59A0" w:rsidR="0005243A" w:rsidRDefault="0005243A" w:rsidP="0005243A">
            <w:pPr>
              <w:spacing w:after="0" w:line="240" w:lineRule="auto"/>
              <w:jc w:val="right"/>
            </w:pPr>
            <w:r w:rsidRPr="004E1DCE">
              <w:t xml:space="preserve"> 81 </w:t>
            </w:r>
          </w:p>
        </w:tc>
      </w:tr>
      <w:tr w:rsidR="0005243A" w14:paraId="10D2C741" w14:textId="77777777" w:rsidTr="00563664">
        <w:tc>
          <w:tcPr>
            <w:tcW w:w="2376" w:type="dxa"/>
          </w:tcPr>
          <w:p w14:paraId="3EB8DC96" w14:textId="0C273328" w:rsidR="0005243A" w:rsidRDefault="0005243A" w:rsidP="0005243A">
            <w:pPr>
              <w:spacing w:after="0" w:line="240" w:lineRule="auto"/>
            </w:pPr>
            <w:r w:rsidRPr="004E1DCE">
              <w:t>Rockbank</w:t>
            </w:r>
          </w:p>
        </w:tc>
        <w:tc>
          <w:tcPr>
            <w:tcW w:w="1276" w:type="dxa"/>
          </w:tcPr>
          <w:p w14:paraId="54F33205" w14:textId="56E24BD0" w:rsidR="0005243A" w:rsidRDefault="0005243A" w:rsidP="0005243A">
            <w:pPr>
              <w:spacing w:after="0" w:line="240" w:lineRule="auto"/>
              <w:jc w:val="right"/>
            </w:pPr>
            <w:r w:rsidRPr="004E1DCE">
              <w:t xml:space="preserve"> 2,171 </w:t>
            </w:r>
          </w:p>
        </w:tc>
      </w:tr>
      <w:tr w:rsidR="0005243A" w14:paraId="14ED579E" w14:textId="77777777" w:rsidTr="00563664">
        <w:tc>
          <w:tcPr>
            <w:tcW w:w="2376" w:type="dxa"/>
          </w:tcPr>
          <w:p w14:paraId="0132CF80" w14:textId="428352F0" w:rsidR="0005243A" w:rsidRDefault="0005243A" w:rsidP="0005243A">
            <w:pPr>
              <w:spacing w:after="0" w:line="240" w:lineRule="auto"/>
            </w:pPr>
            <w:proofErr w:type="spellStart"/>
            <w:r w:rsidRPr="004E1DCE">
              <w:t>Strathtulloh</w:t>
            </w:r>
            <w:proofErr w:type="spellEnd"/>
          </w:p>
        </w:tc>
        <w:tc>
          <w:tcPr>
            <w:tcW w:w="1276" w:type="dxa"/>
          </w:tcPr>
          <w:p w14:paraId="154F0E89" w14:textId="43119C00" w:rsidR="0005243A" w:rsidRDefault="0005243A" w:rsidP="0005243A">
            <w:pPr>
              <w:spacing w:after="0" w:line="240" w:lineRule="auto"/>
              <w:jc w:val="right"/>
            </w:pPr>
            <w:r w:rsidRPr="004E1DCE">
              <w:t xml:space="preserve"> 2,526 </w:t>
            </w:r>
          </w:p>
        </w:tc>
      </w:tr>
      <w:tr w:rsidR="0005243A" w14:paraId="48C52952" w14:textId="77777777" w:rsidTr="00563664">
        <w:tc>
          <w:tcPr>
            <w:tcW w:w="2376" w:type="dxa"/>
          </w:tcPr>
          <w:p w14:paraId="70471011" w14:textId="159A8B89" w:rsidR="0005243A" w:rsidRDefault="0005243A" w:rsidP="0005243A">
            <w:pPr>
              <w:spacing w:after="0" w:line="240" w:lineRule="auto"/>
            </w:pPr>
            <w:r w:rsidRPr="004E1DCE">
              <w:t>Taylors Hill</w:t>
            </w:r>
          </w:p>
        </w:tc>
        <w:tc>
          <w:tcPr>
            <w:tcW w:w="1276" w:type="dxa"/>
          </w:tcPr>
          <w:p w14:paraId="71403F31" w14:textId="64E7D0F2" w:rsidR="0005243A" w:rsidRDefault="0005243A" w:rsidP="0005243A">
            <w:pPr>
              <w:spacing w:after="0" w:line="240" w:lineRule="auto"/>
              <w:jc w:val="right"/>
            </w:pPr>
            <w:r w:rsidRPr="004E1DCE">
              <w:t xml:space="preserve"> 10,216 </w:t>
            </w:r>
          </w:p>
        </w:tc>
      </w:tr>
      <w:tr w:rsidR="0005243A" w14:paraId="69DFA4A8" w14:textId="77777777" w:rsidTr="00563664">
        <w:tc>
          <w:tcPr>
            <w:tcW w:w="2376" w:type="dxa"/>
          </w:tcPr>
          <w:p w14:paraId="4ECF05A1" w14:textId="2C47CD60" w:rsidR="0005243A" w:rsidRDefault="0005243A" w:rsidP="0005243A">
            <w:pPr>
              <w:spacing w:after="0" w:line="240" w:lineRule="auto"/>
            </w:pPr>
            <w:r w:rsidRPr="004E1DCE">
              <w:t>Thornhill Park</w:t>
            </w:r>
          </w:p>
        </w:tc>
        <w:tc>
          <w:tcPr>
            <w:tcW w:w="1276" w:type="dxa"/>
          </w:tcPr>
          <w:p w14:paraId="7717DF55" w14:textId="599EA035" w:rsidR="0005243A" w:rsidRDefault="0005243A" w:rsidP="0005243A">
            <w:pPr>
              <w:spacing w:after="0" w:line="240" w:lineRule="auto"/>
              <w:jc w:val="right"/>
            </w:pPr>
            <w:r w:rsidRPr="004E1DCE">
              <w:t xml:space="preserve"> 2,376 </w:t>
            </w:r>
          </w:p>
        </w:tc>
      </w:tr>
      <w:tr w:rsidR="0005243A" w14:paraId="3A1723B0" w14:textId="77777777" w:rsidTr="00563664">
        <w:tc>
          <w:tcPr>
            <w:tcW w:w="2376" w:type="dxa"/>
          </w:tcPr>
          <w:p w14:paraId="43BCA6B6" w14:textId="35750445" w:rsidR="0005243A" w:rsidRDefault="0005243A" w:rsidP="0005243A">
            <w:pPr>
              <w:spacing w:after="0" w:line="240" w:lineRule="auto"/>
            </w:pPr>
            <w:proofErr w:type="spellStart"/>
            <w:r w:rsidRPr="004E1DCE">
              <w:t>Toolern</w:t>
            </w:r>
            <w:proofErr w:type="spellEnd"/>
            <w:r w:rsidRPr="004E1DCE">
              <w:t xml:space="preserve"> Vale</w:t>
            </w:r>
          </w:p>
        </w:tc>
        <w:tc>
          <w:tcPr>
            <w:tcW w:w="1276" w:type="dxa"/>
          </w:tcPr>
          <w:p w14:paraId="37545A40" w14:textId="65319DEF" w:rsidR="0005243A" w:rsidRDefault="0005243A" w:rsidP="0005243A">
            <w:pPr>
              <w:spacing w:after="0" w:line="240" w:lineRule="auto"/>
              <w:jc w:val="right"/>
            </w:pPr>
            <w:r w:rsidRPr="004E1DCE">
              <w:t xml:space="preserve"> 647 </w:t>
            </w:r>
          </w:p>
        </w:tc>
      </w:tr>
      <w:tr w:rsidR="0005243A" w14:paraId="266264AC" w14:textId="77777777" w:rsidTr="00563664">
        <w:tc>
          <w:tcPr>
            <w:tcW w:w="2376" w:type="dxa"/>
          </w:tcPr>
          <w:p w14:paraId="24C0F9FF" w14:textId="3B84D5FB" w:rsidR="0005243A" w:rsidRDefault="0005243A" w:rsidP="0005243A">
            <w:pPr>
              <w:spacing w:after="0" w:line="240" w:lineRule="auto"/>
            </w:pPr>
            <w:r w:rsidRPr="004E1DCE">
              <w:t>Truganina</w:t>
            </w:r>
          </w:p>
        </w:tc>
        <w:tc>
          <w:tcPr>
            <w:tcW w:w="1276" w:type="dxa"/>
          </w:tcPr>
          <w:p w14:paraId="1A43640F" w14:textId="7211D732" w:rsidR="0005243A" w:rsidRDefault="0005243A" w:rsidP="0005243A">
            <w:pPr>
              <w:spacing w:after="0" w:line="240" w:lineRule="auto"/>
              <w:jc w:val="right"/>
            </w:pPr>
            <w:r w:rsidRPr="004E1DCE">
              <w:t xml:space="preserve"> 1,759 </w:t>
            </w:r>
          </w:p>
        </w:tc>
      </w:tr>
      <w:tr w:rsidR="0005243A" w14:paraId="0C3126BB" w14:textId="77777777" w:rsidTr="00563664">
        <w:tc>
          <w:tcPr>
            <w:tcW w:w="2376" w:type="dxa"/>
          </w:tcPr>
          <w:p w14:paraId="27BCF06E" w14:textId="31799146" w:rsidR="0005243A" w:rsidRDefault="0005243A" w:rsidP="0005243A">
            <w:pPr>
              <w:spacing w:after="0" w:line="240" w:lineRule="auto"/>
            </w:pPr>
            <w:r w:rsidRPr="004E1DCE">
              <w:t>Weir Views</w:t>
            </w:r>
          </w:p>
        </w:tc>
        <w:tc>
          <w:tcPr>
            <w:tcW w:w="1276" w:type="dxa"/>
          </w:tcPr>
          <w:p w14:paraId="16606C8D" w14:textId="1FC70ADD" w:rsidR="0005243A" w:rsidRDefault="0005243A" w:rsidP="0005243A">
            <w:pPr>
              <w:spacing w:after="0" w:line="240" w:lineRule="auto"/>
              <w:jc w:val="right"/>
            </w:pPr>
            <w:r w:rsidRPr="004E1DCE">
              <w:t xml:space="preserve"> 2,890 </w:t>
            </w:r>
          </w:p>
        </w:tc>
      </w:tr>
    </w:tbl>
    <w:p w14:paraId="37A3B486" w14:textId="151B11C7" w:rsidR="00A51DFB" w:rsidRDefault="00A51DFB" w:rsidP="004D1C77"/>
    <w:p w14:paraId="4A85B17F" w14:textId="05F72371" w:rsidR="00A51DFB" w:rsidRDefault="00A51DFB" w:rsidP="004D1C77"/>
    <w:p w14:paraId="75175268" w14:textId="1AC14E01" w:rsidR="00A51DFB" w:rsidRDefault="00A51DFB" w:rsidP="004D1C77"/>
    <w:p w14:paraId="04DA3756" w14:textId="42898FD8" w:rsidR="00A51DFB" w:rsidRDefault="00A51DFB" w:rsidP="004D1C77"/>
    <w:p w14:paraId="326034C0" w14:textId="2FD47714" w:rsidR="00A51DFB" w:rsidRDefault="00A51DFB" w:rsidP="004D1C77"/>
    <w:p w14:paraId="04E8FF21" w14:textId="799045B0" w:rsidR="00A51DFB" w:rsidRDefault="00A51DFB" w:rsidP="004D1C77"/>
    <w:p w14:paraId="2ECE73B0" w14:textId="4138FF6E" w:rsidR="00A51DFB" w:rsidRDefault="00A51DFB" w:rsidP="004D1C77"/>
    <w:p w14:paraId="42ABE64B" w14:textId="57AEA216" w:rsidR="00A51DFB" w:rsidRDefault="00A51DFB" w:rsidP="004D1C77"/>
    <w:p w14:paraId="618D13D6" w14:textId="7C3EDD84" w:rsidR="00A51DFB" w:rsidRDefault="00A51DFB" w:rsidP="004D1C77"/>
    <w:p w14:paraId="12C51CEC" w14:textId="2EF348E6" w:rsidR="00A51DFB" w:rsidRDefault="00A51DFB" w:rsidP="004D1C77"/>
    <w:p w14:paraId="46407E1D" w14:textId="33330138" w:rsidR="00A51DFB" w:rsidRDefault="00A51DFB" w:rsidP="004D1C77"/>
    <w:p w14:paraId="46C27D49" w14:textId="2E4D3F59" w:rsidR="00A51DFB" w:rsidRDefault="00A51DFB" w:rsidP="004D1C77"/>
    <w:p w14:paraId="64840D66" w14:textId="3902FA9D" w:rsidR="00A51DFB" w:rsidRDefault="00A51DFB" w:rsidP="004D1C77"/>
    <w:p w14:paraId="42553CD7" w14:textId="5B0BDBD8" w:rsidR="00A51DFB" w:rsidRDefault="00A51DFB" w:rsidP="004D1C77"/>
    <w:p w14:paraId="70FDE234" w14:textId="56DBE4F1" w:rsidR="00A51DFB" w:rsidRDefault="00A51DFB" w:rsidP="004D1C77"/>
    <w:p w14:paraId="0DABC7CB" w14:textId="77777777" w:rsidR="00A51DFB" w:rsidRDefault="00A51DFB" w:rsidP="004D1C77">
      <w:pPr>
        <w:sectPr w:rsidR="00A51DFB" w:rsidSect="00A51DFB">
          <w:type w:val="continuous"/>
          <w:pgSz w:w="16838" w:h="11906" w:orient="landscape" w:code="9"/>
          <w:pgMar w:top="737" w:right="737" w:bottom="1134" w:left="1134" w:header="397" w:footer="397" w:gutter="0"/>
          <w:cols w:num="3" w:space="708"/>
          <w:docGrid w:linePitch="360"/>
        </w:sectPr>
      </w:pPr>
    </w:p>
    <w:p w14:paraId="2DE93E8E" w14:textId="77777777" w:rsidR="00A51DFB" w:rsidRPr="003214D1" w:rsidRDefault="00A51DFB" w:rsidP="004D1C77"/>
    <w:sectPr w:rsidR="00A51DFB" w:rsidRPr="003214D1" w:rsidSect="00A51DFB">
      <w:type w:val="continuous"/>
      <w:pgSz w:w="16838" w:h="11906" w:orient="landscape" w:code="9"/>
      <w:pgMar w:top="737" w:right="73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A73F" w14:textId="77777777" w:rsidR="00847222" w:rsidRDefault="00847222" w:rsidP="00665F91">
      <w:r>
        <w:separator/>
      </w:r>
    </w:p>
  </w:endnote>
  <w:endnote w:type="continuationSeparator" w:id="0">
    <w:p w14:paraId="49BB68BA" w14:textId="77777777" w:rsidR="00847222" w:rsidRDefault="00847222" w:rsidP="00665F91">
      <w:r>
        <w:continuationSeparator/>
      </w:r>
    </w:p>
  </w:endnote>
  <w:endnote w:type="continuationNotice" w:id="1">
    <w:p w14:paraId="5F32E952" w14:textId="77777777" w:rsidR="00847222" w:rsidRDefault="00847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 NUMPAGES  \* Arabic  \* MERGEFORMAT ">
      <w:r w:rsidR="00215B1D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18" w14:textId="77777777" w:rsidR="00C318C2" w:rsidRDefault="00C318C2" w:rsidP="00C318C2">
    <w:pPr>
      <w:pStyle w:val="Footer"/>
      <w:pBdr>
        <w:top w:val="single" w:sz="4" w:space="1" w:color="auto"/>
      </w:pBdr>
      <w:tabs>
        <w:tab w:val="clear" w:pos="9026"/>
        <w:tab w:val="right" w:pos="14884"/>
      </w:tabs>
    </w:pPr>
    <w:r>
      <w:rPr>
        <w:noProof/>
      </w:rPr>
      <w:drawing>
        <wp:inline distT="0" distB="0" distL="0" distR="0" wp14:anchorId="43013C78" wp14:editId="21799EE3">
          <wp:extent cx="2543175" cy="282574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47CF" w14:textId="77777777" w:rsidR="00847222" w:rsidRDefault="00847222" w:rsidP="00665F91">
      <w:r>
        <w:separator/>
      </w:r>
    </w:p>
  </w:footnote>
  <w:footnote w:type="continuationSeparator" w:id="0">
    <w:p w14:paraId="55146527" w14:textId="77777777" w:rsidR="00847222" w:rsidRDefault="00847222" w:rsidP="00665F91">
      <w:r>
        <w:continuationSeparator/>
      </w:r>
    </w:p>
  </w:footnote>
  <w:footnote w:type="continuationNotice" w:id="1">
    <w:p w14:paraId="6CC421D0" w14:textId="77777777" w:rsidR="00847222" w:rsidRDefault="008472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9841">
    <w:abstractNumId w:val="5"/>
  </w:num>
  <w:num w:numId="2" w16cid:durableId="359749404">
    <w:abstractNumId w:val="1"/>
  </w:num>
  <w:num w:numId="3" w16cid:durableId="1412241678">
    <w:abstractNumId w:val="7"/>
  </w:num>
  <w:num w:numId="4" w16cid:durableId="145512274">
    <w:abstractNumId w:val="6"/>
  </w:num>
  <w:num w:numId="5" w16cid:durableId="657003221">
    <w:abstractNumId w:val="0"/>
  </w:num>
  <w:num w:numId="6" w16cid:durableId="1065571351">
    <w:abstractNumId w:val="3"/>
  </w:num>
  <w:num w:numId="7" w16cid:durableId="358623186">
    <w:abstractNumId w:val="8"/>
  </w:num>
  <w:num w:numId="8" w16cid:durableId="1186092738">
    <w:abstractNumId w:val="2"/>
  </w:num>
  <w:num w:numId="9" w16cid:durableId="6993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18E8"/>
    <w:rsid w:val="00004841"/>
    <w:rsid w:val="00004D0A"/>
    <w:rsid w:val="00007254"/>
    <w:rsid w:val="000076F3"/>
    <w:rsid w:val="00007F79"/>
    <w:rsid w:val="00010993"/>
    <w:rsid w:val="00011FA0"/>
    <w:rsid w:val="00013529"/>
    <w:rsid w:val="000178D1"/>
    <w:rsid w:val="00021BCA"/>
    <w:rsid w:val="00025831"/>
    <w:rsid w:val="000273AA"/>
    <w:rsid w:val="00033CFA"/>
    <w:rsid w:val="000378E4"/>
    <w:rsid w:val="00037C09"/>
    <w:rsid w:val="00041543"/>
    <w:rsid w:val="000427E9"/>
    <w:rsid w:val="000433C2"/>
    <w:rsid w:val="00043421"/>
    <w:rsid w:val="0004386B"/>
    <w:rsid w:val="000445D9"/>
    <w:rsid w:val="0004744F"/>
    <w:rsid w:val="0005243A"/>
    <w:rsid w:val="00052A15"/>
    <w:rsid w:val="000541AC"/>
    <w:rsid w:val="0005526F"/>
    <w:rsid w:val="000564BB"/>
    <w:rsid w:val="00063928"/>
    <w:rsid w:val="00066652"/>
    <w:rsid w:val="00066C2F"/>
    <w:rsid w:val="00074988"/>
    <w:rsid w:val="00074DB9"/>
    <w:rsid w:val="00074FF1"/>
    <w:rsid w:val="0007549F"/>
    <w:rsid w:val="00082D3B"/>
    <w:rsid w:val="00085F24"/>
    <w:rsid w:val="000867EE"/>
    <w:rsid w:val="000868D5"/>
    <w:rsid w:val="00086A4A"/>
    <w:rsid w:val="00087F91"/>
    <w:rsid w:val="000902B1"/>
    <w:rsid w:val="00090761"/>
    <w:rsid w:val="0009344D"/>
    <w:rsid w:val="000942E6"/>
    <w:rsid w:val="00094704"/>
    <w:rsid w:val="000A6C0E"/>
    <w:rsid w:val="000B2E34"/>
    <w:rsid w:val="000B415C"/>
    <w:rsid w:val="000B56A8"/>
    <w:rsid w:val="000B5D80"/>
    <w:rsid w:val="000B6772"/>
    <w:rsid w:val="000B7348"/>
    <w:rsid w:val="000C42E1"/>
    <w:rsid w:val="000D1C44"/>
    <w:rsid w:val="000D36B9"/>
    <w:rsid w:val="000E0A4B"/>
    <w:rsid w:val="000E7203"/>
    <w:rsid w:val="000F18D7"/>
    <w:rsid w:val="000F2D03"/>
    <w:rsid w:val="000F5D3D"/>
    <w:rsid w:val="000F76B6"/>
    <w:rsid w:val="001028A6"/>
    <w:rsid w:val="00120623"/>
    <w:rsid w:val="00121C83"/>
    <w:rsid w:val="00122E13"/>
    <w:rsid w:val="001276D5"/>
    <w:rsid w:val="00132435"/>
    <w:rsid w:val="00132DC6"/>
    <w:rsid w:val="0013367A"/>
    <w:rsid w:val="00136884"/>
    <w:rsid w:val="00140337"/>
    <w:rsid w:val="00140D06"/>
    <w:rsid w:val="00143EDC"/>
    <w:rsid w:val="0014562F"/>
    <w:rsid w:val="00146708"/>
    <w:rsid w:val="00147658"/>
    <w:rsid w:val="00147E77"/>
    <w:rsid w:val="00150BDF"/>
    <w:rsid w:val="001557DA"/>
    <w:rsid w:val="0015595D"/>
    <w:rsid w:val="00155EFA"/>
    <w:rsid w:val="00157E83"/>
    <w:rsid w:val="00163DD0"/>
    <w:rsid w:val="001643C6"/>
    <w:rsid w:val="0017234A"/>
    <w:rsid w:val="00173C8A"/>
    <w:rsid w:val="00173DAA"/>
    <w:rsid w:val="001773CC"/>
    <w:rsid w:val="0017756C"/>
    <w:rsid w:val="001808F0"/>
    <w:rsid w:val="0018428F"/>
    <w:rsid w:val="0018500A"/>
    <w:rsid w:val="0018543F"/>
    <w:rsid w:val="00186597"/>
    <w:rsid w:val="00191176"/>
    <w:rsid w:val="00191BE3"/>
    <w:rsid w:val="00194693"/>
    <w:rsid w:val="001957B1"/>
    <w:rsid w:val="00195AB1"/>
    <w:rsid w:val="00195FA2"/>
    <w:rsid w:val="001A00BE"/>
    <w:rsid w:val="001A1B9E"/>
    <w:rsid w:val="001A4765"/>
    <w:rsid w:val="001A500D"/>
    <w:rsid w:val="001A6F98"/>
    <w:rsid w:val="001B14C0"/>
    <w:rsid w:val="001B3804"/>
    <w:rsid w:val="001B3928"/>
    <w:rsid w:val="001B46B0"/>
    <w:rsid w:val="001B6733"/>
    <w:rsid w:val="001C2428"/>
    <w:rsid w:val="001C2597"/>
    <w:rsid w:val="001C576B"/>
    <w:rsid w:val="001C6FB2"/>
    <w:rsid w:val="001D6FBC"/>
    <w:rsid w:val="001E0052"/>
    <w:rsid w:val="001E0C71"/>
    <w:rsid w:val="001E16C7"/>
    <w:rsid w:val="001E3133"/>
    <w:rsid w:val="001E56E8"/>
    <w:rsid w:val="001E6B21"/>
    <w:rsid w:val="001F22A6"/>
    <w:rsid w:val="001F2312"/>
    <w:rsid w:val="001F2777"/>
    <w:rsid w:val="001F32B9"/>
    <w:rsid w:val="001F7026"/>
    <w:rsid w:val="002012D1"/>
    <w:rsid w:val="00202E3A"/>
    <w:rsid w:val="00205107"/>
    <w:rsid w:val="00206954"/>
    <w:rsid w:val="002109AD"/>
    <w:rsid w:val="00212074"/>
    <w:rsid w:val="00214046"/>
    <w:rsid w:val="00214AE7"/>
    <w:rsid w:val="00215B1D"/>
    <w:rsid w:val="00227530"/>
    <w:rsid w:val="002507C5"/>
    <w:rsid w:val="0025212F"/>
    <w:rsid w:val="002528BB"/>
    <w:rsid w:val="0026053F"/>
    <w:rsid w:val="0026150E"/>
    <w:rsid w:val="00261FDD"/>
    <w:rsid w:val="00262368"/>
    <w:rsid w:val="00265ECE"/>
    <w:rsid w:val="00267D9B"/>
    <w:rsid w:val="00274D03"/>
    <w:rsid w:val="002753DF"/>
    <w:rsid w:val="0027708F"/>
    <w:rsid w:val="002779D5"/>
    <w:rsid w:val="00280596"/>
    <w:rsid w:val="0028492E"/>
    <w:rsid w:val="00285DCD"/>
    <w:rsid w:val="00293440"/>
    <w:rsid w:val="002941A0"/>
    <w:rsid w:val="00294B08"/>
    <w:rsid w:val="002A11CD"/>
    <w:rsid w:val="002A763F"/>
    <w:rsid w:val="002B2829"/>
    <w:rsid w:val="002B2DDA"/>
    <w:rsid w:val="002B4B1B"/>
    <w:rsid w:val="002B7973"/>
    <w:rsid w:val="002C0D24"/>
    <w:rsid w:val="002C155C"/>
    <w:rsid w:val="002C3FB1"/>
    <w:rsid w:val="002C50F8"/>
    <w:rsid w:val="002C6760"/>
    <w:rsid w:val="002C6A68"/>
    <w:rsid w:val="002D4C6D"/>
    <w:rsid w:val="002D5409"/>
    <w:rsid w:val="002D55D8"/>
    <w:rsid w:val="002E3548"/>
    <w:rsid w:val="002F1B18"/>
    <w:rsid w:val="002F1E32"/>
    <w:rsid w:val="002F2E71"/>
    <w:rsid w:val="002F4763"/>
    <w:rsid w:val="002F6FA8"/>
    <w:rsid w:val="003011AE"/>
    <w:rsid w:val="00303185"/>
    <w:rsid w:val="003033FC"/>
    <w:rsid w:val="00306648"/>
    <w:rsid w:val="0031024F"/>
    <w:rsid w:val="0031230D"/>
    <w:rsid w:val="00312E4E"/>
    <w:rsid w:val="003138B4"/>
    <w:rsid w:val="00315C79"/>
    <w:rsid w:val="00320B8E"/>
    <w:rsid w:val="00322088"/>
    <w:rsid w:val="00324452"/>
    <w:rsid w:val="003247B6"/>
    <w:rsid w:val="00324AA1"/>
    <w:rsid w:val="0032506E"/>
    <w:rsid w:val="00330F62"/>
    <w:rsid w:val="00337881"/>
    <w:rsid w:val="00343D62"/>
    <w:rsid w:val="0034417D"/>
    <w:rsid w:val="00344943"/>
    <w:rsid w:val="00344E9F"/>
    <w:rsid w:val="003478AD"/>
    <w:rsid w:val="003552D9"/>
    <w:rsid w:val="00357BE0"/>
    <w:rsid w:val="00361394"/>
    <w:rsid w:val="003629AD"/>
    <w:rsid w:val="00363012"/>
    <w:rsid w:val="00364068"/>
    <w:rsid w:val="00370349"/>
    <w:rsid w:val="00373075"/>
    <w:rsid w:val="003730AE"/>
    <w:rsid w:val="0037330E"/>
    <w:rsid w:val="00373A04"/>
    <w:rsid w:val="00375DF4"/>
    <w:rsid w:val="00376130"/>
    <w:rsid w:val="00376B42"/>
    <w:rsid w:val="003859CB"/>
    <w:rsid w:val="00385E80"/>
    <w:rsid w:val="003903F7"/>
    <w:rsid w:val="003923A2"/>
    <w:rsid w:val="00392C32"/>
    <w:rsid w:val="00394A76"/>
    <w:rsid w:val="003951A0"/>
    <w:rsid w:val="003A046E"/>
    <w:rsid w:val="003A14C0"/>
    <w:rsid w:val="003A28E1"/>
    <w:rsid w:val="003A774E"/>
    <w:rsid w:val="003B39C6"/>
    <w:rsid w:val="003B4475"/>
    <w:rsid w:val="003C13AC"/>
    <w:rsid w:val="003C28E2"/>
    <w:rsid w:val="003C4B77"/>
    <w:rsid w:val="003C5557"/>
    <w:rsid w:val="003D053D"/>
    <w:rsid w:val="003D10A3"/>
    <w:rsid w:val="003D2EEF"/>
    <w:rsid w:val="003D317E"/>
    <w:rsid w:val="003D489C"/>
    <w:rsid w:val="003D6EA6"/>
    <w:rsid w:val="003E054A"/>
    <w:rsid w:val="003E551C"/>
    <w:rsid w:val="003F1211"/>
    <w:rsid w:val="003F1E90"/>
    <w:rsid w:val="003F7F9E"/>
    <w:rsid w:val="004051A1"/>
    <w:rsid w:val="00405C5B"/>
    <w:rsid w:val="00405D67"/>
    <w:rsid w:val="00407988"/>
    <w:rsid w:val="00410458"/>
    <w:rsid w:val="00410B7F"/>
    <w:rsid w:val="00412438"/>
    <w:rsid w:val="00414CC7"/>
    <w:rsid w:val="0041716E"/>
    <w:rsid w:val="00417353"/>
    <w:rsid w:val="00423446"/>
    <w:rsid w:val="00431CB7"/>
    <w:rsid w:val="004355A2"/>
    <w:rsid w:val="0043629D"/>
    <w:rsid w:val="004366FC"/>
    <w:rsid w:val="004416AD"/>
    <w:rsid w:val="00442535"/>
    <w:rsid w:val="00445AED"/>
    <w:rsid w:val="00450A68"/>
    <w:rsid w:val="00450F84"/>
    <w:rsid w:val="0045156E"/>
    <w:rsid w:val="00455865"/>
    <w:rsid w:val="00455AF8"/>
    <w:rsid w:val="00457E46"/>
    <w:rsid w:val="00461035"/>
    <w:rsid w:val="00463A44"/>
    <w:rsid w:val="00464EB3"/>
    <w:rsid w:val="004679DA"/>
    <w:rsid w:val="004717D0"/>
    <w:rsid w:val="00472247"/>
    <w:rsid w:val="0047242A"/>
    <w:rsid w:val="004731E0"/>
    <w:rsid w:val="004855CE"/>
    <w:rsid w:val="004A03D5"/>
    <w:rsid w:val="004A0EEE"/>
    <w:rsid w:val="004A684B"/>
    <w:rsid w:val="004A7F31"/>
    <w:rsid w:val="004B0370"/>
    <w:rsid w:val="004B10CA"/>
    <w:rsid w:val="004B12CB"/>
    <w:rsid w:val="004B20C0"/>
    <w:rsid w:val="004B2BB4"/>
    <w:rsid w:val="004B309B"/>
    <w:rsid w:val="004B31AC"/>
    <w:rsid w:val="004B36C4"/>
    <w:rsid w:val="004B5883"/>
    <w:rsid w:val="004B5905"/>
    <w:rsid w:val="004B7D1A"/>
    <w:rsid w:val="004B7D7E"/>
    <w:rsid w:val="004C007E"/>
    <w:rsid w:val="004C3F04"/>
    <w:rsid w:val="004C6A7B"/>
    <w:rsid w:val="004C6E04"/>
    <w:rsid w:val="004D1C77"/>
    <w:rsid w:val="004D2588"/>
    <w:rsid w:val="004D5511"/>
    <w:rsid w:val="004D56EE"/>
    <w:rsid w:val="004D581F"/>
    <w:rsid w:val="004D621B"/>
    <w:rsid w:val="004D785E"/>
    <w:rsid w:val="004E3072"/>
    <w:rsid w:val="004E3ECD"/>
    <w:rsid w:val="004E4336"/>
    <w:rsid w:val="004E4F0F"/>
    <w:rsid w:val="004E5E6C"/>
    <w:rsid w:val="004F0EAE"/>
    <w:rsid w:val="004F1170"/>
    <w:rsid w:val="004F79E7"/>
    <w:rsid w:val="005036FB"/>
    <w:rsid w:val="005043BF"/>
    <w:rsid w:val="00505AB8"/>
    <w:rsid w:val="00506059"/>
    <w:rsid w:val="005118F9"/>
    <w:rsid w:val="00512C63"/>
    <w:rsid w:val="00514643"/>
    <w:rsid w:val="0051531D"/>
    <w:rsid w:val="0051594E"/>
    <w:rsid w:val="0051766D"/>
    <w:rsid w:val="00525F8E"/>
    <w:rsid w:val="005270AD"/>
    <w:rsid w:val="00530049"/>
    <w:rsid w:val="00530ECB"/>
    <w:rsid w:val="00533759"/>
    <w:rsid w:val="00536A84"/>
    <w:rsid w:val="00536B37"/>
    <w:rsid w:val="00536B67"/>
    <w:rsid w:val="005371B2"/>
    <w:rsid w:val="005410AC"/>
    <w:rsid w:val="00541A64"/>
    <w:rsid w:val="0054209F"/>
    <w:rsid w:val="005434F9"/>
    <w:rsid w:val="00543679"/>
    <w:rsid w:val="00543739"/>
    <w:rsid w:val="0054466B"/>
    <w:rsid w:val="00550C1A"/>
    <w:rsid w:val="0055232C"/>
    <w:rsid w:val="00554EE4"/>
    <w:rsid w:val="0055573B"/>
    <w:rsid w:val="00555802"/>
    <w:rsid w:val="0055608C"/>
    <w:rsid w:val="00560197"/>
    <w:rsid w:val="00560DDF"/>
    <w:rsid w:val="00563664"/>
    <w:rsid w:val="00563B29"/>
    <w:rsid w:val="00566206"/>
    <w:rsid w:val="00566D50"/>
    <w:rsid w:val="00567FDF"/>
    <w:rsid w:val="0057191F"/>
    <w:rsid w:val="0057298A"/>
    <w:rsid w:val="00572B2B"/>
    <w:rsid w:val="00573BF1"/>
    <w:rsid w:val="00574100"/>
    <w:rsid w:val="0058199E"/>
    <w:rsid w:val="0058340C"/>
    <w:rsid w:val="0058388E"/>
    <w:rsid w:val="00587028"/>
    <w:rsid w:val="0059213D"/>
    <w:rsid w:val="005972C6"/>
    <w:rsid w:val="005A3B14"/>
    <w:rsid w:val="005A3FC0"/>
    <w:rsid w:val="005A48B6"/>
    <w:rsid w:val="005A5824"/>
    <w:rsid w:val="005A7A95"/>
    <w:rsid w:val="005B02D2"/>
    <w:rsid w:val="005B090D"/>
    <w:rsid w:val="005B4AD6"/>
    <w:rsid w:val="005B683C"/>
    <w:rsid w:val="005C17A7"/>
    <w:rsid w:val="005C4825"/>
    <w:rsid w:val="005C4D98"/>
    <w:rsid w:val="005C6205"/>
    <w:rsid w:val="005D6096"/>
    <w:rsid w:val="005D6C63"/>
    <w:rsid w:val="005D76E4"/>
    <w:rsid w:val="005D7D2F"/>
    <w:rsid w:val="005E00C4"/>
    <w:rsid w:val="005E26DC"/>
    <w:rsid w:val="005E451C"/>
    <w:rsid w:val="005E4546"/>
    <w:rsid w:val="005E5DB0"/>
    <w:rsid w:val="005E6792"/>
    <w:rsid w:val="005E74FA"/>
    <w:rsid w:val="005F0ABA"/>
    <w:rsid w:val="005F2AFB"/>
    <w:rsid w:val="005F2E4C"/>
    <w:rsid w:val="006022A3"/>
    <w:rsid w:val="00603BF2"/>
    <w:rsid w:val="006069DB"/>
    <w:rsid w:val="00607BA3"/>
    <w:rsid w:val="00610697"/>
    <w:rsid w:val="006129A4"/>
    <w:rsid w:val="0061614B"/>
    <w:rsid w:val="006214A8"/>
    <w:rsid w:val="00621772"/>
    <w:rsid w:val="00621816"/>
    <w:rsid w:val="00621DEA"/>
    <w:rsid w:val="00624615"/>
    <w:rsid w:val="006323DA"/>
    <w:rsid w:val="00632669"/>
    <w:rsid w:val="00633318"/>
    <w:rsid w:val="00633739"/>
    <w:rsid w:val="006347E3"/>
    <w:rsid w:val="006401E4"/>
    <w:rsid w:val="0064634A"/>
    <w:rsid w:val="00653D32"/>
    <w:rsid w:val="00654026"/>
    <w:rsid w:val="00654EF5"/>
    <w:rsid w:val="00660E21"/>
    <w:rsid w:val="00662011"/>
    <w:rsid w:val="00662044"/>
    <w:rsid w:val="0066304E"/>
    <w:rsid w:val="00664AEB"/>
    <w:rsid w:val="0066531B"/>
    <w:rsid w:val="0066586A"/>
    <w:rsid w:val="006659C6"/>
    <w:rsid w:val="00665B07"/>
    <w:rsid w:val="00665C9D"/>
    <w:rsid w:val="00665F91"/>
    <w:rsid w:val="006675CB"/>
    <w:rsid w:val="00673296"/>
    <w:rsid w:val="0068056D"/>
    <w:rsid w:val="00682A45"/>
    <w:rsid w:val="00683AB2"/>
    <w:rsid w:val="0069327C"/>
    <w:rsid w:val="0069479D"/>
    <w:rsid w:val="00696F5A"/>
    <w:rsid w:val="006A294A"/>
    <w:rsid w:val="006A3925"/>
    <w:rsid w:val="006A4C08"/>
    <w:rsid w:val="006A4D8F"/>
    <w:rsid w:val="006B0342"/>
    <w:rsid w:val="006B2225"/>
    <w:rsid w:val="006B3F8E"/>
    <w:rsid w:val="006B5323"/>
    <w:rsid w:val="006B6CFB"/>
    <w:rsid w:val="006B7A4A"/>
    <w:rsid w:val="006C0081"/>
    <w:rsid w:val="006C16DF"/>
    <w:rsid w:val="006C197A"/>
    <w:rsid w:val="006D342E"/>
    <w:rsid w:val="006D5570"/>
    <w:rsid w:val="006D729D"/>
    <w:rsid w:val="006D78DC"/>
    <w:rsid w:val="006E00C1"/>
    <w:rsid w:val="006E05C4"/>
    <w:rsid w:val="006E095D"/>
    <w:rsid w:val="006E0B63"/>
    <w:rsid w:val="006E2602"/>
    <w:rsid w:val="006E3BC8"/>
    <w:rsid w:val="006E48EF"/>
    <w:rsid w:val="006E52AE"/>
    <w:rsid w:val="006E52E9"/>
    <w:rsid w:val="006E5ACE"/>
    <w:rsid w:val="006F0005"/>
    <w:rsid w:val="006F564E"/>
    <w:rsid w:val="00700947"/>
    <w:rsid w:val="00702ECF"/>
    <w:rsid w:val="0070364B"/>
    <w:rsid w:val="007038E7"/>
    <w:rsid w:val="00704364"/>
    <w:rsid w:val="00706BAD"/>
    <w:rsid w:val="00707861"/>
    <w:rsid w:val="0071271D"/>
    <w:rsid w:val="00714010"/>
    <w:rsid w:val="00716470"/>
    <w:rsid w:val="00717A44"/>
    <w:rsid w:val="00721974"/>
    <w:rsid w:val="0072203E"/>
    <w:rsid w:val="00723F40"/>
    <w:rsid w:val="00725B6A"/>
    <w:rsid w:val="00727041"/>
    <w:rsid w:val="00733E34"/>
    <w:rsid w:val="0073556F"/>
    <w:rsid w:val="00736AAE"/>
    <w:rsid w:val="00746A16"/>
    <w:rsid w:val="00752275"/>
    <w:rsid w:val="00755912"/>
    <w:rsid w:val="00756ED2"/>
    <w:rsid w:val="00757292"/>
    <w:rsid w:val="007574A2"/>
    <w:rsid w:val="0076595A"/>
    <w:rsid w:val="00765ED5"/>
    <w:rsid w:val="00765EEA"/>
    <w:rsid w:val="00773D07"/>
    <w:rsid w:val="007742D3"/>
    <w:rsid w:val="00775DE7"/>
    <w:rsid w:val="00783B38"/>
    <w:rsid w:val="00787A2B"/>
    <w:rsid w:val="007913FB"/>
    <w:rsid w:val="007A194C"/>
    <w:rsid w:val="007A1AB8"/>
    <w:rsid w:val="007A1D54"/>
    <w:rsid w:val="007A2315"/>
    <w:rsid w:val="007A40D7"/>
    <w:rsid w:val="007A7027"/>
    <w:rsid w:val="007B71EF"/>
    <w:rsid w:val="007C1C4B"/>
    <w:rsid w:val="007C6584"/>
    <w:rsid w:val="007C7BB3"/>
    <w:rsid w:val="007D07BF"/>
    <w:rsid w:val="007D2859"/>
    <w:rsid w:val="007D29E0"/>
    <w:rsid w:val="007D4F8F"/>
    <w:rsid w:val="007D6A0B"/>
    <w:rsid w:val="007E3730"/>
    <w:rsid w:val="007E6015"/>
    <w:rsid w:val="007E73AB"/>
    <w:rsid w:val="007F59DB"/>
    <w:rsid w:val="008070FB"/>
    <w:rsid w:val="00810548"/>
    <w:rsid w:val="0081191D"/>
    <w:rsid w:val="00817956"/>
    <w:rsid w:val="00820A1F"/>
    <w:rsid w:val="00825118"/>
    <w:rsid w:val="008276F7"/>
    <w:rsid w:val="008279E5"/>
    <w:rsid w:val="00830ACF"/>
    <w:rsid w:val="0083166F"/>
    <w:rsid w:val="0083584C"/>
    <w:rsid w:val="00835898"/>
    <w:rsid w:val="00835FB9"/>
    <w:rsid w:val="00837406"/>
    <w:rsid w:val="00844AFF"/>
    <w:rsid w:val="0084665D"/>
    <w:rsid w:val="00846705"/>
    <w:rsid w:val="00847222"/>
    <w:rsid w:val="00852B96"/>
    <w:rsid w:val="0085407E"/>
    <w:rsid w:val="00854304"/>
    <w:rsid w:val="00856673"/>
    <w:rsid w:val="00857D7D"/>
    <w:rsid w:val="008619B2"/>
    <w:rsid w:val="008622EE"/>
    <w:rsid w:val="00862776"/>
    <w:rsid w:val="00863BA9"/>
    <w:rsid w:val="0087049F"/>
    <w:rsid w:val="0087158F"/>
    <w:rsid w:val="00871905"/>
    <w:rsid w:val="008744CD"/>
    <w:rsid w:val="008752B6"/>
    <w:rsid w:val="0087655E"/>
    <w:rsid w:val="00876836"/>
    <w:rsid w:val="00876CFA"/>
    <w:rsid w:val="00877CA0"/>
    <w:rsid w:val="0088029B"/>
    <w:rsid w:val="008818FD"/>
    <w:rsid w:val="00881EBC"/>
    <w:rsid w:val="00883F89"/>
    <w:rsid w:val="0088456D"/>
    <w:rsid w:val="00890813"/>
    <w:rsid w:val="00891E09"/>
    <w:rsid w:val="008A186F"/>
    <w:rsid w:val="008A1CCA"/>
    <w:rsid w:val="008A2182"/>
    <w:rsid w:val="008B1567"/>
    <w:rsid w:val="008B2746"/>
    <w:rsid w:val="008B4863"/>
    <w:rsid w:val="008B7249"/>
    <w:rsid w:val="008B7E1F"/>
    <w:rsid w:val="008B7F78"/>
    <w:rsid w:val="008C33C0"/>
    <w:rsid w:val="008C733A"/>
    <w:rsid w:val="008D2B38"/>
    <w:rsid w:val="008D2D52"/>
    <w:rsid w:val="008D3C12"/>
    <w:rsid w:val="008D5A81"/>
    <w:rsid w:val="008D6521"/>
    <w:rsid w:val="008E58D6"/>
    <w:rsid w:val="008E6336"/>
    <w:rsid w:val="008E7AB0"/>
    <w:rsid w:val="008F08CD"/>
    <w:rsid w:val="008F2E0A"/>
    <w:rsid w:val="008F4CB4"/>
    <w:rsid w:val="008F573D"/>
    <w:rsid w:val="008F5B52"/>
    <w:rsid w:val="008F5E7D"/>
    <w:rsid w:val="008F68B0"/>
    <w:rsid w:val="00901954"/>
    <w:rsid w:val="009035DB"/>
    <w:rsid w:val="009048A8"/>
    <w:rsid w:val="0091065F"/>
    <w:rsid w:val="00911DF5"/>
    <w:rsid w:val="009141E3"/>
    <w:rsid w:val="00920889"/>
    <w:rsid w:val="00931605"/>
    <w:rsid w:val="00932378"/>
    <w:rsid w:val="00933843"/>
    <w:rsid w:val="009350BC"/>
    <w:rsid w:val="009368E5"/>
    <w:rsid w:val="009440A9"/>
    <w:rsid w:val="009450E2"/>
    <w:rsid w:val="0094664A"/>
    <w:rsid w:val="009468F7"/>
    <w:rsid w:val="0094715B"/>
    <w:rsid w:val="0095180D"/>
    <w:rsid w:val="00952BCB"/>
    <w:rsid w:val="00954ADD"/>
    <w:rsid w:val="00956ED1"/>
    <w:rsid w:val="00962E0A"/>
    <w:rsid w:val="00963BB6"/>
    <w:rsid w:val="0097051C"/>
    <w:rsid w:val="00973BFD"/>
    <w:rsid w:val="00975DA9"/>
    <w:rsid w:val="00976546"/>
    <w:rsid w:val="00976675"/>
    <w:rsid w:val="00977918"/>
    <w:rsid w:val="00980B7A"/>
    <w:rsid w:val="009829DC"/>
    <w:rsid w:val="00982AA4"/>
    <w:rsid w:val="0098332F"/>
    <w:rsid w:val="00987132"/>
    <w:rsid w:val="0098750E"/>
    <w:rsid w:val="00990941"/>
    <w:rsid w:val="009953AB"/>
    <w:rsid w:val="009953BE"/>
    <w:rsid w:val="009974D8"/>
    <w:rsid w:val="00997CBA"/>
    <w:rsid w:val="009A04D7"/>
    <w:rsid w:val="009A3DCC"/>
    <w:rsid w:val="009B010A"/>
    <w:rsid w:val="009B09F9"/>
    <w:rsid w:val="009B2AFC"/>
    <w:rsid w:val="009B3B4F"/>
    <w:rsid w:val="009B4D99"/>
    <w:rsid w:val="009B51A5"/>
    <w:rsid w:val="009C01B9"/>
    <w:rsid w:val="009C7919"/>
    <w:rsid w:val="009E3779"/>
    <w:rsid w:val="009E56E2"/>
    <w:rsid w:val="009F13B3"/>
    <w:rsid w:val="009F6028"/>
    <w:rsid w:val="009F7CD8"/>
    <w:rsid w:val="00A03869"/>
    <w:rsid w:val="00A0526D"/>
    <w:rsid w:val="00A0531D"/>
    <w:rsid w:val="00A05496"/>
    <w:rsid w:val="00A14378"/>
    <w:rsid w:val="00A16431"/>
    <w:rsid w:val="00A17DC4"/>
    <w:rsid w:val="00A203DF"/>
    <w:rsid w:val="00A20B7C"/>
    <w:rsid w:val="00A23809"/>
    <w:rsid w:val="00A23C7B"/>
    <w:rsid w:val="00A3468E"/>
    <w:rsid w:val="00A363F2"/>
    <w:rsid w:val="00A4094A"/>
    <w:rsid w:val="00A42A02"/>
    <w:rsid w:val="00A42BDB"/>
    <w:rsid w:val="00A4346F"/>
    <w:rsid w:val="00A434CF"/>
    <w:rsid w:val="00A43AA3"/>
    <w:rsid w:val="00A47E40"/>
    <w:rsid w:val="00A51DFB"/>
    <w:rsid w:val="00A53096"/>
    <w:rsid w:val="00A534AB"/>
    <w:rsid w:val="00A53B2A"/>
    <w:rsid w:val="00A556D0"/>
    <w:rsid w:val="00A55CE7"/>
    <w:rsid w:val="00A55D61"/>
    <w:rsid w:val="00A57CF6"/>
    <w:rsid w:val="00A6367D"/>
    <w:rsid w:val="00A63B49"/>
    <w:rsid w:val="00A6613F"/>
    <w:rsid w:val="00A66B53"/>
    <w:rsid w:val="00A670AB"/>
    <w:rsid w:val="00A6737A"/>
    <w:rsid w:val="00A71406"/>
    <w:rsid w:val="00A71EFB"/>
    <w:rsid w:val="00A71F2C"/>
    <w:rsid w:val="00A7235E"/>
    <w:rsid w:val="00A7415D"/>
    <w:rsid w:val="00A75EAA"/>
    <w:rsid w:val="00A81FB8"/>
    <w:rsid w:val="00A8462C"/>
    <w:rsid w:val="00A901B3"/>
    <w:rsid w:val="00A91DA7"/>
    <w:rsid w:val="00A959D7"/>
    <w:rsid w:val="00A96401"/>
    <w:rsid w:val="00AA2E31"/>
    <w:rsid w:val="00AA527E"/>
    <w:rsid w:val="00AA7699"/>
    <w:rsid w:val="00AA7766"/>
    <w:rsid w:val="00AB09B1"/>
    <w:rsid w:val="00AB2098"/>
    <w:rsid w:val="00AB2921"/>
    <w:rsid w:val="00AB292C"/>
    <w:rsid w:val="00AB3120"/>
    <w:rsid w:val="00AB5144"/>
    <w:rsid w:val="00AB5199"/>
    <w:rsid w:val="00AB55F2"/>
    <w:rsid w:val="00AB58D8"/>
    <w:rsid w:val="00AB64E9"/>
    <w:rsid w:val="00AB6661"/>
    <w:rsid w:val="00AB67E2"/>
    <w:rsid w:val="00AB6A7F"/>
    <w:rsid w:val="00AB7545"/>
    <w:rsid w:val="00AC04E5"/>
    <w:rsid w:val="00AC1D7D"/>
    <w:rsid w:val="00AC37E0"/>
    <w:rsid w:val="00AC7479"/>
    <w:rsid w:val="00AC7EC7"/>
    <w:rsid w:val="00AD3606"/>
    <w:rsid w:val="00AD451C"/>
    <w:rsid w:val="00AE1650"/>
    <w:rsid w:val="00AE2CA1"/>
    <w:rsid w:val="00AF26A3"/>
    <w:rsid w:val="00AF3B63"/>
    <w:rsid w:val="00AF459C"/>
    <w:rsid w:val="00AF6062"/>
    <w:rsid w:val="00B0098C"/>
    <w:rsid w:val="00B036E6"/>
    <w:rsid w:val="00B05F0B"/>
    <w:rsid w:val="00B07597"/>
    <w:rsid w:val="00B110D8"/>
    <w:rsid w:val="00B11FF4"/>
    <w:rsid w:val="00B13C60"/>
    <w:rsid w:val="00B146FD"/>
    <w:rsid w:val="00B148F4"/>
    <w:rsid w:val="00B16E24"/>
    <w:rsid w:val="00B2121E"/>
    <w:rsid w:val="00B30613"/>
    <w:rsid w:val="00B316AF"/>
    <w:rsid w:val="00B32AE9"/>
    <w:rsid w:val="00B32ED8"/>
    <w:rsid w:val="00B33CA4"/>
    <w:rsid w:val="00B353C7"/>
    <w:rsid w:val="00B37E0F"/>
    <w:rsid w:val="00B402C9"/>
    <w:rsid w:val="00B417FD"/>
    <w:rsid w:val="00B420AC"/>
    <w:rsid w:val="00B4326B"/>
    <w:rsid w:val="00B5011B"/>
    <w:rsid w:val="00B51CA8"/>
    <w:rsid w:val="00B5311F"/>
    <w:rsid w:val="00B53151"/>
    <w:rsid w:val="00B5389B"/>
    <w:rsid w:val="00B560B9"/>
    <w:rsid w:val="00B56133"/>
    <w:rsid w:val="00B60AC4"/>
    <w:rsid w:val="00B615E2"/>
    <w:rsid w:val="00B7185F"/>
    <w:rsid w:val="00B74C22"/>
    <w:rsid w:val="00B766C2"/>
    <w:rsid w:val="00B813BE"/>
    <w:rsid w:val="00B81FBD"/>
    <w:rsid w:val="00BA06A4"/>
    <w:rsid w:val="00BA16B5"/>
    <w:rsid w:val="00BA20B7"/>
    <w:rsid w:val="00BA26BD"/>
    <w:rsid w:val="00BA5F78"/>
    <w:rsid w:val="00BA705D"/>
    <w:rsid w:val="00BA7568"/>
    <w:rsid w:val="00BA7AF2"/>
    <w:rsid w:val="00BB12E3"/>
    <w:rsid w:val="00BB3020"/>
    <w:rsid w:val="00BB4FA1"/>
    <w:rsid w:val="00BB6631"/>
    <w:rsid w:val="00BC065D"/>
    <w:rsid w:val="00BC1851"/>
    <w:rsid w:val="00BC1CFC"/>
    <w:rsid w:val="00BC4593"/>
    <w:rsid w:val="00BC4668"/>
    <w:rsid w:val="00BC6B37"/>
    <w:rsid w:val="00BC7704"/>
    <w:rsid w:val="00BD2406"/>
    <w:rsid w:val="00BE2B90"/>
    <w:rsid w:val="00BE4AFF"/>
    <w:rsid w:val="00BE7DB7"/>
    <w:rsid w:val="00BF41BB"/>
    <w:rsid w:val="00BF54F4"/>
    <w:rsid w:val="00BF5F0D"/>
    <w:rsid w:val="00C02CD4"/>
    <w:rsid w:val="00C036F9"/>
    <w:rsid w:val="00C042C8"/>
    <w:rsid w:val="00C04DAA"/>
    <w:rsid w:val="00C05524"/>
    <w:rsid w:val="00C0553B"/>
    <w:rsid w:val="00C06895"/>
    <w:rsid w:val="00C12354"/>
    <w:rsid w:val="00C14BA4"/>
    <w:rsid w:val="00C17004"/>
    <w:rsid w:val="00C20AE9"/>
    <w:rsid w:val="00C22C32"/>
    <w:rsid w:val="00C24779"/>
    <w:rsid w:val="00C251FD"/>
    <w:rsid w:val="00C318C2"/>
    <w:rsid w:val="00C336C4"/>
    <w:rsid w:val="00C33EEA"/>
    <w:rsid w:val="00C3537A"/>
    <w:rsid w:val="00C37375"/>
    <w:rsid w:val="00C4025A"/>
    <w:rsid w:val="00C42DB5"/>
    <w:rsid w:val="00C43921"/>
    <w:rsid w:val="00C45CD1"/>
    <w:rsid w:val="00C46414"/>
    <w:rsid w:val="00C47927"/>
    <w:rsid w:val="00C50C3F"/>
    <w:rsid w:val="00C51BB8"/>
    <w:rsid w:val="00C631A2"/>
    <w:rsid w:val="00C64157"/>
    <w:rsid w:val="00C70EE1"/>
    <w:rsid w:val="00C71D47"/>
    <w:rsid w:val="00C725C1"/>
    <w:rsid w:val="00C7433B"/>
    <w:rsid w:val="00C761EB"/>
    <w:rsid w:val="00C76AB3"/>
    <w:rsid w:val="00C77233"/>
    <w:rsid w:val="00C77524"/>
    <w:rsid w:val="00C77B4B"/>
    <w:rsid w:val="00C83F2C"/>
    <w:rsid w:val="00C9050E"/>
    <w:rsid w:val="00C93B58"/>
    <w:rsid w:val="00C9550E"/>
    <w:rsid w:val="00C95700"/>
    <w:rsid w:val="00C96CDC"/>
    <w:rsid w:val="00CA1A56"/>
    <w:rsid w:val="00CA2B4D"/>
    <w:rsid w:val="00CA3661"/>
    <w:rsid w:val="00CA4850"/>
    <w:rsid w:val="00CB3A40"/>
    <w:rsid w:val="00CB549B"/>
    <w:rsid w:val="00CC1EAC"/>
    <w:rsid w:val="00CC4479"/>
    <w:rsid w:val="00CC4500"/>
    <w:rsid w:val="00CC59A4"/>
    <w:rsid w:val="00CC6F2D"/>
    <w:rsid w:val="00CD0480"/>
    <w:rsid w:val="00CD276C"/>
    <w:rsid w:val="00CD2D25"/>
    <w:rsid w:val="00CD388B"/>
    <w:rsid w:val="00CD4B54"/>
    <w:rsid w:val="00CD66E2"/>
    <w:rsid w:val="00CE09C4"/>
    <w:rsid w:val="00CE2CAB"/>
    <w:rsid w:val="00CE2D60"/>
    <w:rsid w:val="00CE3FC9"/>
    <w:rsid w:val="00CE60F8"/>
    <w:rsid w:val="00CE77A4"/>
    <w:rsid w:val="00CF723E"/>
    <w:rsid w:val="00D00F5F"/>
    <w:rsid w:val="00D03E25"/>
    <w:rsid w:val="00D06E5E"/>
    <w:rsid w:val="00D0733B"/>
    <w:rsid w:val="00D103AB"/>
    <w:rsid w:val="00D112B3"/>
    <w:rsid w:val="00D1241D"/>
    <w:rsid w:val="00D129C9"/>
    <w:rsid w:val="00D16F41"/>
    <w:rsid w:val="00D2080B"/>
    <w:rsid w:val="00D2138E"/>
    <w:rsid w:val="00D22DB0"/>
    <w:rsid w:val="00D2318D"/>
    <w:rsid w:val="00D262C1"/>
    <w:rsid w:val="00D26577"/>
    <w:rsid w:val="00D31074"/>
    <w:rsid w:val="00D3335D"/>
    <w:rsid w:val="00D36154"/>
    <w:rsid w:val="00D373C8"/>
    <w:rsid w:val="00D4067B"/>
    <w:rsid w:val="00D4282E"/>
    <w:rsid w:val="00D4462E"/>
    <w:rsid w:val="00D45DF5"/>
    <w:rsid w:val="00D500A2"/>
    <w:rsid w:val="00D50183"/>
    <w:rsid w:val="00D51654"/>
    <w:rsid w:val="00D51B66"/>
    <w:rsid w:val="00D601F9"/>
    <w:rsid w:val="00D6176D"/>
    <w:rsid w:val="00D61B86"/>
    <w:rsid w:val="00D6650F"/>
    <w:rsid w:val="00D6675B"/>
    <w:rsid w:val="00D6750F"/>
    <w:rsid w:val="00D720B5"/>
    <w:rsid w:val="00D737AF"/>
    <w:rsid w:val="00D75301"/>
    <w:rsid w:val="00D77986"/>
    <w:rsid w:val="00D82863"/>
    <w:rsid w:val="00D82BD0"/>
    <w:rsid w:val="00D85084"/>
    <w:rsid w:val="00D8732B"/>
    <w:rsid w:val="00D96125"/>
    <w:rsid w:val="00D96F7E"/>
    <w:rsid w:val="00DA157E"/>
    <w:rsid w:val="00DA31CB"/>
    <w:rsid w:val="00DA36A5"/>
    <w:rsid w:val="00DA5D69"/>
    <w:rsid w:val="00DA6F8E"/>
    <w:rsid w:val="00DB190C"/>
    <w:rsid w:val="00DB468D"/>
    <w:rsid w:val="00DB7705"/>
    <w:rsid w:val="00DC2EE1"/>
    <w:rsid w:val="00DC7361"/>
    <w:rsid w:val="00DC7A22"/>
    <w:rsid w:val="00DC7B52"/>
    <w:rsid w:val="00DD5E6F"/>
    <w:rsid w:val="00DD7C2E"/>
    <w:rsid w:val="00DE168B"/>
    <w:rsid w:val="00DE24E2"/>
    <w:rsid w:val="00DE290D"/>
    <w:rsid w:val="00DE2D26"/>
    <w:rsid w:val="00DE3B58"/>
    <w:rsid w:val="00DE3E8F"/>
    <w:rsid w:val="00DE4378"/>
    <w:rsid w:val="00DF2607"/>
    <w:rsid w:val="00DF40F9"/>
    <w:rsid w:val="00DF4222"/>
    <w:rsid w:val="00DF4C85"/>
    <w:rsid w:val="00DF534C"/>
    <w:rsid w:val="00E00273"/>
    <w:rsid w:val="00E01228"/>
    <w:rsid w:val="00E02C88"/>
    <w:rsid w:val="00E062FC"/>
    <w:rsid w:val="00E06D47"/>
    <w:rsid w:val="00E12A24"/>
    <w:rsid w:val="00E17220"/>
    <w:rsid w:val="00E20ED4"/>
    <w:rsid w:val="00E21D92"/>
    <w:rsid w:val="00E2217F"/>
    <w:rsid w:val="00E2340E"/>
    <w:rsid w:val="00E25ED3"/>
    <w:rsid w:val="00E261AE"/>
    <w:rsid w:val="00E3280D"/>
    <w:rsid w:val="00E3332A"/>
    <w:rsid w:val="00E36B4A"/>
    <w:rsid w:val="00E42BBF"/>
    <w:rsid w:val="00E44766"/>
    <w:rsid w:val="00E4623C"/>
    <w:rsid w:val="00E466D0"/>
    <w:rsid w:val="00E46822"/>
    <w:rsid w:val="00E47120"/>
    <w:rsid w:val="00E50943"/>
    <w:rsid w:val="00E53D17"/>
    <w:rsid w:val="00E577A9"/>
    <w:rsid w:val="00E61359"/>
    <w:rsid w:val="00E61EB6"/>
    <w:rsid w:val="00E626BC"/>
    <w:rsid w:val="00E62ABC"/>
    <w:rsid w:val="00E63989"/>
    <w:rsid w:val="00E652DB"/>
    <w:rsid w:val="00E65CB9"/>
    <w:rsid w:val="00E66A6A"/>
    <w:rsid w:val="00E670D3"/>
    <w:rsid w:val="00E71495"/>
    <w:rsid w:val="00E718A1"/>
    <w:rsid w:val="00E7290C"/>
    <w:rsid w:val="00E750E5"/>
    <w:rsid w:val="00E75C92"/>
    <w:rsid w:val="00E75E49"/>
    <w:rsid w:val="00E76EAD"/>
    <w:rsid w:val="00E76ECE"/>
    <w:rsid w:val="00E829F5"/>
    <w:rsid w:val="00E84198"/>
    <w:rsid w:val="00E87D70"/>
    <w:rsid w:val="00E87E2F"/>
    <w:rsid w:val="00E927F1"/>
    <w:rsid w:val="00E943BC"/>
    <w:rsid w:val="00EA0D84"/>
    <w:rsid w:val="00EA53CB"/>
    <w:rsid w:val="00EA598B"/>
    <w:rsid w:val="00EA69BE"/>
    <w:rsid w:val="00EA7CE5"/>
    <w:rsid w:val="00EB4012"/>
    <w:rsid w:val="00EB5923"/>
    <w:rsid w:val="00EB5D63"/>
    <w:rsid w:val="00EC4735"/>
    <w:rsid w:val="00EC6A35"/>
    <w:rsid w:val="00ED1E43"/>
    <w:rsid w:val="00ED49CF"/>
    <w:rsid w:val="00ED52C7"/>
    <w:rsid w:val="00ED7E3D"/>
    <w:rsid w:val="00EE0C38"/>
    <w:rsid w:val="00EE235F"/>
    <w:rsid w:val="00EE2973"/>
    <w:rsid w:val="00EE6EAE"/>
    <w:rsid w:val="00EF1C4C"/>
    <w:rsid w:val="00EF1F6B"/>
    <w:rsid w:val="00EF2AAB"/>
    <w:rsid w:val="00EF42AE"/>
    <w:rsid w:val="00EF4709"/>
    <w:rsid w:val="00F013FB"/>
    <w:rsid w:val="00F0565C"/>
    <w:rsid w:val="00F05FB4"/>
    <w:rsid w:val="00F1081E"/>
    <w:rsid w:val="00F13965"/>
    <w:rsid w:val="00F15369"/>
    <w:rsid w:val="00F202E5"/>
    <w:rsid w:val="00F21E1A"/>
    <w:rsid w:val="00F23E4D"/>
    <w:rsid w:val="00F2453A"/>
    <w:rsid w:val="00F2465A"/>
    <w:rsid w:val="00F30BF7"/>
    <w:rsid w:val="00F32F6B"/>
    <w:rsid w:val="00F331DF"/>
    <w:rsid w:val="00F34433"/>
    <w:rsid w:val="00F420D4"/>
    <w:rsid w:val="00F52D51"/>
    <w:rsid w:val="00F53FB5"/>
    <w:rsid w:val="00F5590C"/>
    <w:rsid w:val="00F55DF4"/>
    <w:rsid w:val="00F56201"/>
    <w:rsid w:val="00F566A0"/>
    <w:rsid w:val="00F573F3"/>
    <w:rsid w:val="00F6159B"/>
    <w:rsid w:val="00F615E4"/>
    <w:rsid w:val="00F6161C"/>
    <w:rsid w:val="00F63B1E"/>
    <w:rsid w:val="00F64627"/>
    <w:rsid w:val="00F72850"/>
    <w:rsid w:val="00F75F1A"/>
    <w:rsid w:val="00F77C77"/>
    <w:rsid w:val="00F86882"/>
    <w:rsid w:val="00F87B7D"/>
    <w:rsid w:val="00F90CC8"/>
    <w:rsid w:val="00F913E0"/>
    <w:rsid w:val="00F923D7"/>
    <w:rsid w:val="00F92476"/>
    <w:rsid w:val="00FA04FA"/>
    <w:rsid w:val="00FA29EF"/>
    <w:rsid w:val="00FA6935"/>
    <w:rsid w:val="00FB2223"/>
    <w:rsid w:val="00FB388D"/>
    <w:rsid w:val="00FB45A4"/>
    <w:rsid w:val="00FC27DE"/>
    <w:rsid w:val="00FC334F"/>
    <w:rsid w:val="00FC492D"/>
    <w:rsid w:val="00FC77DA"/>
    <w:rsid w:val="00FD04C8"/>
    <w:rsid w:val="00FD08B5"/>
    <w:rsid w:val="00FD4FC0"/>
    <w:rsid w:val="00FD5A62"/>
    <w:rsid w:val="00FD6BFD"/>
    <w:rsid w:val="00FE0B29"/>
    <w:rsid w:val="00FE5643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D1E43"/>
  </w:style>
  <w:style w:type="character" w:styleId="FollowedHyperlink">
    <w:name w:val="FollowedHyperlink"/>
    <w:basedOn w:val="DefaultParagraphFont"/>
    <w:uiPriority w:val="99"/>
    <w:semiHidden/>
    <w:unhideWhenUsed/>
    <w:rsid w:val="00CE3F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ec.vic.gov.au/" TargetMode="External"/><Relationship Id="rId18" Type="http://schemas.openxmlformats.org/officeDocument/2006/relationships/hyperlink" Target="https://www.abs.gov.au/census/find-census-data/search-by-are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vec.vic.gov.au/priva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vec.vic.gov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hyperlink" Target="mailto:Melton.ERAPSubmissions@vec.vic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Links>
    <vt:vector size="36" baseType="variant">
      <vt:variant>
        <vt:i4>1966165</vt:i4>
      </vt:variant>
      <vt:variant>
        <vt:i4>12</vt:i4>
      </vt:variant>
      <vt:variant>
        <vt:i4>0</vt:i4>
      </vt:variant>
      <vt:variant>
        <vt:i4>5</vt:i4>
      </vt:variant>
      <vt:variant>
        <vt:lpwstr>https://www.abs.gov.au/census/find-census-data/search-by-area</vt:lpwstr>
      </vt:variant>
      <vt:variant>
        <vt:lpwstr/>
      </vt:variant>
      <vt:variant>
        <vt:i4>7405688</vt:i4>
      </vt:variant>
      <vt:variant>
        <vt:i4>9</vt:i4>
      </vt:variant>
      <vt:variant>
        <vt:i4>0</vt:i4>
      </vt:variant>
      <vt:variant>
        <vt:i4>5</vt:i4>
      </vt:variant>
      <vt:variant>
        <vt:lpwstr>https://www.vec.vic.gov.au/privacy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http://vec.vic.gov.au/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https://www.vec.vic.gov.au/</vt:lpwstr>
      </vt:variant>
      <vt:variant>
        <vt:lpwstr/>
      </vt:variant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https://achris.vic.gov.au/weave/wca.html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2023-10-10T01:00:00Z</dcterms:created>
  <dcterms:modified xsi:type="dcterms:W3CDTF">2023-10-10T01:00:00Z</dcterms:modified>
</cp:coreProperties>
</file>